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DE13" w14:textId="77777777" w:rsidR="00A77B3E" w:rsidRDefault="00193375">
      <w:pPr>
        <w:spacing w:line="288" w:lineRule="auto"/>
        <w:jc w:val="center"/>
        <w:rPr>
          <w:rFonts w:ascii="Calibri" w:eastAsia="Calibri" w:hAnsi="Calibri" w:cs="Calibri"/>
        </w:rPr>
      </w:pPr>
      <w:bookmarkStart w:id="0" w:name="Section1"/>
      <w:bookmarkEnd w:id="0"/>
      <w:r>
        <w:rPr>
          <w:noProof/>
        </w:rPr>
        <w:drawing>
          <wp:inline distT="0" distB="0" distL="0" distR="0" wp14:anchorId="11530209" wp14:editId="3881CAF1">
            <wp:extent cx="3638550" cy="43815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8550" cy="438150"/>
                    </a:xfrm>
                    <a:prstGeom prst="rect">
                      <a:avLst/>
                    </a:prstGeom>
                    <a:noFill/>
                    <a:ln>
                      <a:noFill/>
                    </a:ln>
                  </pic:spPr>
                </pic:pic>
              </a:graphicData>
            </a:graphic>
          </wp:inline>
        </w:drawing>
      </w:r>
    </w:p>
    <w:p w14:paraId="0FB768A1" w14:textId="77777777" w:rsidR="00A77B3E" w:rsidRDefault="00A77B3E">
      <w:pPr>
        <w:spacing w:line="288" w:lineRule="auto"/>
        <w:jc w:val="center"/>
        <w:rPr>
          <w:rFonts w:ascii="Calibri" w:eastAsia="Calibri" w:hAnsi="Calibri" w:cs="Calibri"/>
        </w:rPr>
      </w:pPr>
    </w:p>
    <w:p w14:paraId="7DAA8E0A" w14:textId="77777777" w:rsidR="00A77B3E" w:rsidRDefault="00193375">
      <w:pPr>
        <w:spacing w:line="288" w:lineRule="auto"/>
        <w:jc w:val="center"/>
        <w:rPr>
          <w:rFonts w:ascii="Calibri" w:eastAsia="Calibri" w:hAnsi="Calibri" w:cs="Calibri"/>
          <w:sz w:val="22"/>
        </w:rPr>
      </w:pPr>
      <w:r>
        <w:rPr>
          <w:b/>
        </w:rPr>
        <w:t xml:space="preserve">SOUTHERN CALIFORNIA BANCORP REPORTS CONTINUED STRONG LOAN GROWTH FOR </w:t>
      </w:r>
    </w:p>
    <w:p w14:paraId="13180D12" w14:textId="77777777" w:rsidR="00A77B3E" w:rsidRDefault="00193375">
      <w:pPr>
        <w:spacing w:line="288" w:lineRule="auto"/>
        <w:jc w:val="center"/>
        <w:rPr>
          <w:rFonts w:ascii="Calibri" w:eastAsia="Calibri" w:hAnsi="Calibri" w:cs="Calibri"/>
          <w:sz w:val="22"/>
        </w:rPr>
      </w:pPr>
      <w:r>
        <w:rPr>
          <w:b/>
        </w:rPr>
        <w:t xml:space="preserve">THE FIRST QUARTER OF 2022 </w:t>
      </w:r>
    </w:p>
    <w:p w14:paraId="1CBA33B3" w14:textId="77777777" w:rsidR="00A77B3E" w:rsidRDefault="00A77B3E">
      <w:pPr>
        <w:spacing w:line="288" w:lineRule="auto"/>
        <w:jc w:val="center"/>
        <w:rPr>
          <w:rFonts w:ascii="Calibri" w:eastAsia="Calibri" w:hAnsi="Calibri" w:cs="Calibri"/>
        </w:rPr>
      </w:pPr>
    </w:p>
    <w:p w14:paraId="2E5E0A6F" w14:textId="77777777" w:rsidR="00A77B3E" w:rsidRDefault="00193375">
      <w:pPr>
        <w:spacing w:line="288" w:lineRule="auto"/>
        <w:jc w:val="center"/>
        <w:rPr>
          <w:rFonts w:ascii="Calibri" w:eastAsia="Calibri" w:hAnsi="Calibri" w:cs="Calibri"/>
          <w:sz w:val="22"/>
        </w:rPr>
      </w:pPr>
      <w:r>
        <w:rPr>
          <w:i/>
        </w:rPr>
        <w:t>─  First quarter non-PPP organic loan growth of $165.8 million, up 11.5% from prior quarter</w:t>
      </w:r>
    </w:p>
    <w:p w14:paraId="68C304D6" w14:textId="77777777" w:rsidR="00A77B3E" w:rsidRDefault="00A77B3E">
      <w:pPr>
        <w:spacing w:line="288" w:lineRule="auto"/>
        <w:jc w:val="center"/>
        <w:rPr>
          <w:i/>
        </w:rPr>
      </w:pPr>
    </w:p>
    <w:p w14:paraId="1C9D6EA5" w14:textId="77777777" w:rsidR="00A77B3E" w:rsidRDefault="00193375">
      <w:pPr>
        <w:spacing w:after="2" w:line="300" w:lineRule="auto"/>
        <w:rPr>
          <w:rFonts w:ascii="Calibri" w:eastAsia="Calibri" w:hAnsi="Calibri" w:cs="Calibri"/>
          <w:sz w:val="22"/>
        </w:rPr>
      </w:pPr>
      <w:r>
        <w:rPr>
          <w:i/>
        </w:rPr>
        <w:t>San Diego, Calif., April 28, 2022</w:t>
      </w:r>
      <w:r>
        <w:t xml:space="preserve"> – Southern California Bancorp (“us,” “we,” “our,” or the “Company”) (OTC Pink: BCAL), the holding company for Bank of Southern California, N.A. (the “Bank”) today reported consolidated financial results for the first quarter of 2022. </w:t>
      </w:r>
    </w:p>
    <w:p w14:paraId="5EAA6ECE" w14:textId="77777777" w:rsidR="00A77B3E" w:rsidRDefault="00A77B3E">
      <w:pPr>
        <w:spacing w:line="288" w:lineRule="auto"/>
        <w:rPr>
          <w:rFonts w:ascii="Calibri" w:eastAsia="Calibri" w:hAnsi="Calibri" w:cs="Calibri"/>
        </w:rPr>
      </w:pPr>
    </w:p>
    <w:p w14:paraId="4B69BDE3" w14:textId="77777777" w:rsidR="00A77B3E" w:rsidRDefault="00193375">
      <w:pPr>
        <w:spacing w:line="288" w:lineRule="auto"/>
        <w:rPr>
          <w:rFonts w:ascii="Calibri" w:eastAsia="Calibri" w:hAnsi="Calibri" w:cs="Calibri"/>
          <w:sz w:val="22"/>
        </w:rPr>
      </w:pPr>
      <w:r>
        <w:t xml:space="preserve">The comparability of consolidated financial information for the first quarter of 2022 to the same period of 2021 is affected by the acquisition of Bank of Santa Clarita (“BSCA”) which was completed effective October 1, 2021.  Accordingly, BSCA’s operating results are included in the Company’s consolidated financial statements for the periods beginning after October 1, 2021. </w:t>
      </w:r>
    </w:p>
    <w:p w14:paraId="32A67A44" w14:textId="77777777" w:rsidR="00A77B3E" w:rsidRDefault="00A77B3E">
      <w:pPr>
        <w:spacing w:line="288" w:lineRule="auto"/>
        <w:rPr>
          <w:rFonts w:ascii="Calibri" w:eastAsia="Calibri" w:hAnsi="Calibri" w:cs="Calibri"/>
        </w:rPr>
      </w:pPr>
    </w:p>
    <w:p w14:paraId="37AD6383" w14:textId="77777777" w:rsidR="00A77B3E" w:rsidRDefault="00193375">
      <w:pPr>
        <w:spacing w:line="288" w:lineRule="auto"/>
        <w:rPr>
          <w:rFonts w:ascii="Calibri" w:eastAsia="Calibri" w:hAnsi="Calibri" w:cs="Calibri"/>
          <w:sz w:val="22"/>
        </w:rPr>
      </w:pPr>
      <w:r>
        <w:rPr>
          <w:b/>
          <w:u w:val="single"/>
        </w:rPr>
        <w:t>First Quarter 2022 Highlights</w:t>
      </w:r>
    </w:p>
    <w:p w14:paraId="11CF6625" w14:textId="77777777" w:rsidR="00A77B3E" w:rsidRDefault="00A77B3E">
      <w:pPr>
        <w:spacing w:line="288" w:lineRule="auto"/>
        <w:rPr>
          <w:rFonts w:ascii="Calibri" w:eastAsia="Calibri" w:hAnsi="Calibri" w:cs="Calibri"/>
        </w:rPr>
      </w:pPr>
    </w:p>
    <w:p w14:paraId="5C8E4CD7" w14:textId="77777777" w:rsidR="0008228C" w:rsidRDefault="00193375">
      <w:pPr>
        <w:numPr>
          <w:ilvl w:val="0"/>
          <w:numId w:val="13"/>
        </w:numPr>
        <w:spacing w:line="257" w:lineRule="auto"/>
        <w:rPr>
          <w:b/>
        </w:rPr>
      </w:pPr>
      <w:r>
        <w:rPr>
          <w:b/>
        </w:rPr>
        <w:t xml:space="preserve">Total organic Non-Paycheck Protection Program loans (“non-PPP”) increased </w:t>
      </w:r>
      <w:r>
        <w:t>to $1.61 billion, up $165.8 million, or 11.5%, from December 31, 2021</w:t>
      </w:r>
    </w:p>
    <w:p w14:paraId="5A26C52C" w14:textId="77777777" w:rsidR="0008228C" w:rsidRDefault="00193375">
      <w:pPr>
        <w:numPr>
          <w:ilvl w:val="0"/>
          <w:numId w:val="14"/>
        </w:numPr>
        <w:spacing w:line="257" w:lineRule="auto"/>
        <w:rPr>
          <w:rFonts w:ascii="Arial" w:eastAsia="Arial" w:hAnsi="Arial" w:cs="Arial"/>
        </w:rPr>
      </w:pPr>
      <w:r>
        <w:rPr>
          <w:b/>
        </w:rPr>
        <w:t xml:space="preserve">Tangible book value per common share ("TBV") of </w:t>
      </w:r>
      <w:r>
        <w:t>$11.72 at March 31, 2022, compared with $11.73 at December 31, 2021</w:t>
      </w:r>
    </w:p>
    <w:p w14:paraId="1C67067F" w14:textId="77777777" w:rsidR="0008228C" w:rsidRDefault="00193375">
      <w:pPr>
        <w:numPr>
          <w:ilvl w:val="0"/>
          <w:numId w:val="15"/>
        </w:numPr>
        <w:spacing w:line="257" w:lineRule="auto"/>
      </w:pPr>
      <w:r>
        <w:rPr>
          <w:b/>
        </w:rPr>
        <w:t>Total assets of</w:t>
      </w:r>
      <w:r>
        <w:t xml:space="preserve"> $2.30 billion, up $38.0 million, or 1.7%, from December 31, 2021</w:t>
      </w:r>
    </w:p>
    <w:p w14:paraId="377103FD" w14:textId="77777777" w:rsidR="0008228C" w:rsidRDefault="00193375">
      <w:pPr>
        <w:numPr>
          <w:ilvl w:val="0"/>
          <w:numId w:val="16"/>
        </w:numPr>
        <w:spacing w:line="257" w:lineRule="auto"/>
      </w:pPr>
      <w:r>
        <w:rPr>
          <w:b/>
        </w:rPr>
        <w:t>Total deposits of</w:t>
      </w:r>
      <w:r>
        <w:t xml:space="preserve"> $2.01 billion, up $39.8 million, or 2.0%, from December 31, 2021</w:t>
      </w:r>
    </w:p>
    <w:p w14:paraId="05B2D030" w14:textId="77777777" w:rsidR="0008228C" w:rsidRDefault="00193375">
      <w:pPr>
        <w:numPr>
          <w:ilvl w:val="0"/>
          <w:numId w:val="17"/>
        </w:numPr>
        <w:spacing w:line="257" w:lineRule="auto"/>
        <w:rPr>
          <w:rFonts w:ascii="Arial" w:eastAsia="Arial" w:hAnsi="Arial" w:cs="Arial"/>
        </w:rPr>
      </w:pPr>
      <w:r>
        <w:rPr>
          <w:b/>
        </w:rPr>
        <w:t>Noninterest-bearing demand deposits</w:t>
      </w:r>
      <w:r>
        <w:t xml:space="preserve"> were $1.03 billion, representing 51.3% of total deposits, up from 50.0% at December 31, 2021 </w:t>
      </w:r>
    </w:p>
    <w:p w14:paraId="37E97BA8" w14:textId="77777777" w:rsidR="0008228C" w:rsidRDefault="00193375">
      <w:pPr>
        <w:numPr>
          <w:ilvl w:val="0"/>
          <w:numId w:val="18"/>
        </w:numPr>
        <w:spacing w:line="257" w:lineRule="auto"/>
      </w:pPr>
      <w:r>
        <w:rPr>
          <w:b/>
        </w:rPr>
        <w:t>Paycheck Protection Program (PPP) loan portfolio balance</w:t>
      </w:r>
      <w:r>
        <w:t xml:space="preserve"> of $15.1 million, down $43.5 million from December 31, 2021</w:t>
      </w:r>
    </w:p>
    <w:p w14:paraId="1339BB0B" w14:textId="77777777" w:rsidR="0008228C" w:rsidRDefault="00193375">
      <w:pPr>
        <w:numPr>
          <w:ilvl w:val="0"/>
          <w:numId w:val="19"/>
        </w:numPr>
        <w:spacing w:line="257" w:lineRule="auto"/>
      </w:pPr>
      <w:r>
        <w:rPr>
          <w:b/>
        </w:rPr>
        <w:t xml:space="preserve">Net income </w:t>
      </w:r>
      <w:r>
        <w:t>of $1.4 million, compared with $3.4 million in the prior quarter</w:t>
      </w:r>
    </w:p>
    <w:p w14:paraId="28C954C3" w14:textId="77777777" w:rsidR="0008228C" w:rsidRDefault="00193375">
      <w:pPr>
        <w:numPr>
          <w:ilvl w:val="0"/>
          <w:numId w:val="20"/>
        </w:numPr>
        <w:spacing w:line="257" w:lineRule="auto"/>
      </w:pPr>
      <w:r>
        <w:rPr>
          <w:b/>
        </w:rPr>
        <w:t xml:space="preserve">Non-PPP loan interest income </w:t>
      </w:r>
      <w:r>
        <w:t>increased $637,000, or 4.0%, over the prior quarter</w:t>
      </w:r>
    </w:p>
    <w:p w14:paraId="4EC5866B" w14:textId="77777777" w:rsidR="0008228C" w:rsidRDefault="00193375">
      <w:pPr>
        <w:numPr>
          <w:ilvl w:val="0"/>
          <w:numId w:val="21"/>
        </w:numPr>
        <w:spacing w:line="257" w:lineRule="auto"/>
        <w:rPr>
          <w:b/>
        </w:rPr>
      </w:pPr>
      <w:r>
        <w:rPr>
          <w:b/>
        </w:rPr>
        <w:t>Pre-tax, pre-provision income</w:t>
      </w:r>
      <w:r>
        <w:rPr>
          <w:b/>
          <w:vertAlign w:val="superscript"/>
        </w:rPr>
        <w:t xml:space="preserve"> </w:t>
      </w:r>
      <w:r>
        <w:rPr>
          <w:b/>
        </w:rPr>
        <w:t>of</w:t>
      </w:r>
      <w:r>
        <w:t xml:space="preserve"> $3.8 million, compared with $6.0 million in the prior quarter, as PPP income decreased by $3.5 million from the prior quarter</w:t>
      </w:r>
    </w:p>
    <w:p w14:paraId="0AC29EF3" w14:textId="77777777" w:rsidR="0008228C" w:rsidRDefault="00193375">
      <w:pPr>
        <w:numPr>
          <w:ilvl w:val="0"/>
          <w:numId w:val="22"/>
        </w:numPr>
        <w:spacing w:line="257" w:lineRule="auto"/>
      </w:pPr>
      <w:r>
        <w:rPr>
          <w:b/>
        </w:rPr>
        <w:t>Provision for loan losses of</w:t>
      </w:r>
      <w:r>
        <w:t xml:space="preserve"> $1.9 million due to strong loan growth, compared to $1.2 million in the prior quarter</w:t>
      </w:r>
    </w:p>
    <w:p w14:paraId="67588F37" w14:textId="77777777" w:rsidR="0008228C" w:rsidRDefault="00193375">
      <w:pPr>
        <w:numPr>
          <w:ilvl w:val="0"/>
          <w:numId w:val="23"/>
        </w:numPr>
        <w:spacing w:line="257" w:lineRule="auto"/>
        <w:rPr>
          <w:rFonts w:ascii="Arial" w:eastAsia="Arial" w:hAnsi="Arial" w:cs="Arial"/>
          <w:sz w:val="22"/>
        </w:rPr>
      </w:pPr>
      <w:r>
        <w:rPr>
          <w:b/>
        </w:rPr>
        <w:t>Net interest margin</w:t>
      </w:r>
      <w:r>
        <w:t xml:space="preserve"> of 3.40%, compared with 3.74% in the prior quarter; average yield on non-PPP loans of 4.45% compared with 4.58% in the prior quarter</w:t>
      </w:r>
    </w:p>
    <w:p w14:paraId="4B7B20FF" w14:textId="77777777" w:rsidR="0008228C" w:rsidRDefault="00193375">
      <w:pPr>
        <w:numPr>
          <w:ilvl w:val="0"/>
          <w:numId w:val="24"/>
        </w:numPr>
        <w:spacing w:line="257" w:lineRule="auto"/>
        <w:rPr>
          <w:rFonts w:ascii="Arial" w:eastAsia="Arial" w:hAnsi="Arial" w:cs="Arial"/>
        </w:rPr>
      </w:pPr>
      <w:r>
        <w:rPr>
          <w:b/>
        </w:rPr>
        <w:t>Cost of deposits</w:t>
      </w:r>
      <w:r>
        <w:t xml:space="preserve"> was 0.08%, down from 0.09% in the prior quarter  </w:t>
      </w:r>
    </w:p>
    <w:p w14:paraId="4DADC5AE" w14:textId="77777777" w:rsidR="0008228C" w:rsidRDefault="00193375">
      <w:pPr>
        <w:numPr>
          <w:ilvl w:val="0"/>
          <w:numId w:val="25"/>
        </w:numPr>
        <w:spacing w:line="257" w:lineRule="auto"/>
      </w:pPr>
      <w:r>
        <w:rPr>
          <w:b/>
        </w:rPr>
        <w:t>Nonperforming assets to total assets</w:t>
      </w:r>
      <w:r>
        <w:t xml:space="preserve"> ratio of 0.09%, compared to 0.04% at December 31, 2021</w:t>
      </w:r>
    </w:p>
    <w:p w14:paraId="1E858565" w14:textId="77777777" w:rsidR="0008228C" w:rsidRDefault="00193375">
      <w:pPr>
        <w:numPr>
          <w:ilvl w:val="0"/>
          <w:numId w:val="26"/>
        </w:numPr>
        <w:spacing w:line="257" w:lineRule="auto"/>
        <w:rPr>
          <w:rFonts w:ascii="Arial" w:eastAsia="Arial" w:hAnsi="Arial" w:cs="Arial"/>
          <w:sz w:val="22"/>
        </w:rPr>
      </w:pPr>
      <w:r>
        <w:rPr>
          <w:b/>
        </w:rPr>
        <w:t>Continued status as “well-capitalized</w:t>
      </w:r>
      <w:r>
        <w:t>,</w:t>
      </w:r>
      <w:r>
        <w:rPr>
          <w:b/>
        </w:rPr>
        <w:t>”</w:t>
      </w:r>
      <w:r>
        <w:t xml:space="preserve"> the highest regulatory capital category</w:t>
      </w:r>
    </w:p>
    <w:p w14:paraId="035B3DB9" w14:textId="77777777" w:rsidR="00A77B3E" w:rsidRDefault="00A77B3E">
      <w:pPr>
        <w:spacing w:line="257" w:lineRule="auto"/>
        <w:rPr>
          <w:rFonts w:ascii="Calibri" w:eastAsia="Calibri" w:hAnsi="Calibri" w:cs="Calibri"/>
          <w:sz w:val="22"/>
        </w:rPr>
      </w:pPr>
    </w:p>
    <w:p w14:paraId="5E5BA75D" w14:textId="77777777" w:rsidR="00A77B3E" w:rsidRDefault="00193375">
      <w:pPr>
        <w:spacing w:line="257" w:lineRule="auto"/>
        <w:rPr>
          <w:rFonts w:ascii="Calibri" w:eastAsia="Calibri" w:hAnsi="Calibri" w:cs="Calibri"/>
          <w:sz w:val="22"/>
        </w:rPr>
      </w:pPr>
      <w:r>
        <w:t>“I am very pleased to report continued strong organic non-PPP loan growth of $166 million in the first quarter of 2022, net of approximately $105 million in payoffs, driven by our strategy of expanding our relationship-</w:t>
      </w:r>
      <w:r>
        <w:lastRenderedPageBreak/>
        <w:t xml:space="preserve">based business banking model into Orange, Los Angeles, and Ventura counties, which began just over a year ago and continues to gain traction, as well as continued growth in San Diego County,” said David Rainer, Chairman, CEO and President of Southern California Bancorp and Bank of Southern California, N.A. “Pre-tax, pre-provision income was $3.8 million, compared with $6.0 million in the fourth quarter of 2021, with the decrease due to lower net interest income, as interest and fees on PPP loans declined $3.5 million from the prior quarter and we made a higher provision for loan losses due to strong organic loan growth. </w:t>
      </w:r>
    </w:p>
    <w:p w14:paraId="7D308DB9" w14:textId="77777777" w:rsidR="00A77B3E" w:rsidRDefault="00A77B3E">
      <w:pPr>
        <w:spacing w:line="276" w:lineRule="auto"/>
        <w:rPr>
          <w:rFonts w:ascii="Arial" w:eastAsia="Arial" w:hAnsi="Arial" w:cs="Arial"/>
        </w:rPr>
      </w:pPr>
    </w:p>
    <w:p w14:paraId="4AB9E479" w14:textId="77777777" w:rsidR="00A77B3E" w:rsidRDefault="00193375">
      <w:pPr>
        <w:spacing w:line="257" w:lineRule="auto"/>
        <w:rPr>
          <w:rFonts w:ascii="Calibri" w:eastAsia="Calibri" w:hAnsi="Calibri" w:cs="Calibri"/>
          <w:sz w:val="22"/>
        </w:rPr>
      </w:pPr>
      <w:r>
        <w:t xml:space="preserve">“We have reached an inflection point where income related to PPP loans is ending and is gradually being offset by an increase in interest income generated through continued organic growth in our non-PPP loan portfolio. Interest income from this portfolio increased $637,000, or 4.0% in the first quarter compared with the prior quarter. Our balance sheet remains very asset sensitive and the recent increase in the Federal Funds rate will positively reflect that sensitivity going forward. </w:t>
      </w:r>
    </w:p>
    <w:p w14:paraId="587ECFF2" w14:textId="77777777" w:rsidR="00A77B3E" w:rsidRDefault="00A77B3E">
      <w:pPr>
        <w:spacing w:line="276" w:lineRule="auto"/>
        <w:rPr>
          <w:rFonts w:ascii="Arial" w:eastAsia="Arial" w:hAnsi="Arial" w:cs="Arial"/>
        </w:rPr>
      </w:pPr>
    </w:p>
    <w:p w14:paraId="13FC5687" w14:textId="77777777" w:rsidR="00A77B3E" w:rsidRDefault="00193375">
      <w:pPr>
        <w:spacing w:line="257" w:lineRule="auto"/>
        <w:rPr>
          <w:rFonts w:ascii="Calibri" w:eastAsia="Calibri" w:hAnsi="Calibri" w:cs="Calibri"/>
          <w:sz w:val="22"/>
        </w:rPr>
      </w:pPr>
      <w:r>
        <w:t xml:space="preserve">“Net income of $1.4 million in the first quarter decreased from $3.4 million in the fourth quarter largely due to the decrease of $3.5 million in PPP-related income, as well as an increase of $650,000 in provision for loan losses resulting from our strong loan growth, coupled with the increase in salary and benefit expenses related to the expansion of the SBA lending division, and the seasonal increase in payroll taxes and benefits expense, as well as onetime costs related to the conversion of our core operating system at both the legacy Bank and our recently acquired Santa Clarita office. </w:t>
      </w:r>
    </w:p>
    <w:p w14:paraId="529023D4" w14:textId="77777777" w:rsidR="00A77B3E" w:rsidRDefault="00A77B3E">
      <w:pPr>
        <w:spacing w:line="257" w:lineRule="auto"/>
      </w:pPr>
    </w:p>
    <w:p w14:paraId="7EBB4AFD" w14:textId="77777777" w:rsidR="00A77B3E" w:rsidRDefault="00193375">
      <w:pPr>
        <w:spacing w:line="257" w:lineRule="auto"/>
        <w:rPr>
          <w:rFonts w:ascii="Arial" w:eastAsia="Arial" w:hAnsi="Arial" w:cs="Arial"/>
        </w:rPr>
      </w:pPr>
      <w:r>
        <w:t>“Deposits grew $39.8 million, or 2% in the first quarter, which was more modest than previous quarters, as we intentionally held off on opening new accounts prior to our core system conversion in early March 2022 to avoid having to repeat the onboarding process for our clients. With our new core system in place at the legacy Bank, deposit account growth has picked up and in late April we successfully converted the core system of our Santa Clarita branch, acquired in the fourth quarter of 2021. We anticipate increased efficiencies from the new core system, especially since all our branches have completed the conversion.</w:t>
      </w:r>
    </w:p>
    <w:p w14:paraId="7238B6FB" w14:textId="77777777" w:rsidR="00A77B3E" w:rsidRDefault="00A77B3E">
      <w:pPr>
        <w:spacing w:line="276" w:lineRule="auto"/>
        <w:rPr>
          <w:rFonts w:ascii="Arial" w:eastAsia="Arial" w:hAnsi="Arial" w:cs="Arial"/>
        </w:rPr>
      </w:pPr>
    </w:p>
    <w:p w14:paraId="04D0AAC1" w14:textId="77777777" w:rsidR="00A77B3E" w:rsidRDefault="00193375">
      <w:pPr>
        <w:spacing w:line="257" w:lineRule="auto"/>
        <w:rPr>
          <w:rFonts w:ascii="Calibri" w:eastAsia="Calibri" w:hAnsi="Calibri" w:cs="Calibri"/>
          <w:sz w:val="22"/>
        </w:rPr>
      </w:pPr>
      <w:r>
        <w:t>“In addition to deploying our excess liquidity through organic loan originations, as yields increased during the first quarter, we added $83.9 million of securities to our investment portfolio, growing the portfolio by 151% compared to the fourth quarter of 2021. Our tangible book value declined by $0.01 in the first quarter compared with the prior quarter, which included a mark-to-market unrealized loss on our securities portfolio of $2.3 million or $0.13 per share."</w:t>
      </w:r>
    </w:p>
    <w:p w14:paraId="5433736C" w14:textId="77777777" w:rsidR="00A77B3E" w:rsidRDefault="00A77B3E">
      <w:pPr>
        <w:spacing w:line="276" w:lineRule="auto"/>
        <w:rPr>
          <w:rFonts w:ascii="Arial" w:eastAsia="Arial" w:hAnsi="Arial" w:cs="Arial"/>
        </w:rPr>
      </w:pPr>
    </w:p>
    <w:p w14:paraId="54DFD0BF" w14:textId="77777777" w:rsidR="00A77B3E" w:rsidRDefault="00193375">
      <w:pPr>
        <w:spacing w:line="288" w:lineRule="auto"/>
        <w:rPr>
          <w:shd w:val="clear" w:color="auto" w:fill="FFFF00"/>
        </w:rPr>
      </w:pPr>
      <w:r>
        <w:rPr>
          <w:b/>
          <w:u w:val="single"/>
        </w:rPr>
        <w:t>First Quarter Operating Results</w:t>
      </w:r>
    </w:p>
    <w:p w14:paraId="29581969" w14:textId="77777777" w:rsidR="00A77B3E" w:rsidRDefault="00A77B3E">
      <w:pPr>
        <w:spacing w:line="288" w:lineRule="auto"/>
        <w:rPr>
          <w:rFonts w:ascii="Calibri" w:eastAsia="Calibri" w:hAnsi="Calibri" w:cs="Calibri"/>
        </w:rPr>
      </w:pPr>
    </w:p>
    <w:p w14:paraId="33D3ABCF" w14:textId="77777777" w:rsidR="00A77B3E" w:rsidRDefault="00193375">
      <w:pPr>
        <w:spacing w:line="288" w:lineRule="auto"/>
        <w:rPr>
          <w:rFonts w:ascii="Calibri" w:eastAsia="Calibri" w:hAnsi="Calibri" w:cs="Calibri"/>
          <w:sz w:val="22"/>
        </w:rPr>
      </w:pPr>
      <w:r>
        <w:rPr>
          <w:b/>
        </w:rPr>
        <w:t xml:space="preserve">Net Income </w:t>
      </w:r>
    </w:p>
    <w:p w14:paraId="5A72F5CB" w14:textId="77777777" w:rsidR="00A77B3E" w:rsidRDefault="00A77B3E">
      <w:pPr>
        <w:spacing w:line="288" w:lineRule="auto"/>
        <w:rPr>
          <w:rFonts w:ascii="Calibri" w:eastAsia="Calibri" w:hAnsi="Calibri" w:cs="Calibri"/>
        </w:rPr>
      </w:pPr>
    </w:p>
    <w:p w14:paraId="074C6589" w14:textId="77777777" w:rsidR="00A77B3E" w:rsidRDefault="00193375">
      <w:pPr>
        <w:spacing w:line="257" w:lineRule="auto"/>
        <w:rPr>
          <w:rFonts w:ascii="Calibri" w:eastAsia="Calibri" w:hAnsi="Calibri" w:cs="Calibri"/>
          <w:sz w:val="22"/>
        </w:rPr>
      </w:pPr>
      <w:r>
        <w:t xml:space="preserve">Net income for the first quarter of 2022 was $1.4 million, or $0.08 per diluted share, compared to net income of $3.4 million, or $0.19 per diluted share in the fourth quarter of 2021. Pre-tax, pre-provision income for the first quarter of 2022 was $3.8 million, compared to pre-tax, pre-provision income of $6.0 million in the prior quarter. The decrease in net income in the first quarter of 2022 compared with the fourth quarter of 2021 was primarily due to a $2.5 million decrease in net interest income, a $650,000 increase in provision for loan losses, and a $686,000 increase in noninterest expense, partially offset by an $1.1 million increase in noninterest income and a $868,000 decrease in income tax expense.  </w:t>
      </w:r>
    </w:p>
    <w:p w14:paraId="18DFE4C1" w14:textId="77777777" w:rsidR="00A77B3E" w:rsidRDefault="00A77B3E">
      <w:pPr>
        <w:spacing w:line="276" w:lineRule="auto"/>
        <w:rPr>
          <w:rFonts w:ascii="Arial" w:eastAsia="Arial" w:hAnsi="Arial" w:cs="Arial"/>
          <w:strike/>
        </w:rPr>
      </w:pPr>
    </w:p>
    <w:p w14:paraId="60578B7D" w14:textId="77777777" w:rsidR="00A77B3E" w:rsidRDefault="00193375">
      <w:pPr>
        <w:spacing w:line="257" w:lineRule="auto"/>
        <w:rPr>
          <w:rFonts w:ascii="Calibri" w:eastAsia="Calibri" w:hAnsi="Calibri" w:cs="Calibri"/>
          <w:sz w:val="22"/>
        </w:rPr>
      </w:pPr>
      <w:r>
        <w:lastRenderedPageBreak/>
        <w:t xml:space="preserve">Net income for the first quarter of 2022 was $1.4 million, or $0.08 per diluted share, compared to net income of $1.4 million or $0.10 per diluted share in the first quarter of 2021. Pre-tax, pre-provision income for the first quarter of 2022 was $3.8 million, an increase of $1.8 million, or 91.4% compared to pre-tax, pre-provision income of $2.0 million for the first quarter of 2021. The increase in net income in the first quarter of 2022 compared with the year-ago quarter was primarily due to a $5.2 million increase in net interest income, and a $1.1 million increase in noninterest income, partially offset by an increase in noninterest expense of  $4.4 million and a provision for loan losses of  $1.9 million; in the year-ago quarter, the Company recorded no provision for loan losses. </w:t>
      </w:r>
    </w:p>
    <w:p w14:paraId="198F3046" w14:textId="77777777" w:rsidR="00A77B3E" w:rsidRDefault="00A77B3E">
      <w:pPr>
        <w:spacing w:line="288" w:lineRule="auto"/>
        <w:rPr>
          <w:rFonts w:ascii="Calibri" w:eastAsia="Calibri" w:hAnsi="Calibri" w:cs="Calibri"/>
        </w:rPr>
      </w:pPr>
    </w:p>
    <w:p w14:paraId="253BBC8E" w14:textId="77777777" w:rsidR="00A77B3E" w:rsidRDefault="00193375">
      <w:pPr>
        <w:keepNext/>
        <w:spacing w:after="160" w:line="288" w:lineRule="auto"/>
        <w:rPr>
          <w:rFonts w:ascii="Calibri" w:eastAsia="Calibri" w:hAnsi="Calibri" w:cs="Calibri"/>
          <w:sz w:val="22"/>
          <w:shd w:val="clear" w:color="auto" w:fill="FFFFFF"/>
        </w:rPr>
      </w:pPr>
      <w:r>
        <w:rPr>
          <w:b/>
          <w:shd w:val="clear" w:color="auto" w:fill="FFFFFF"/>
        </w:rPr>
        <w:t>Net Interest Income and Net Interest Margin</w:t>
      </w:r>
    </w:p>
    <w:p w14:paraId="7FBD663A" w14:textId="77777777" w:rsidR="00A77B3E" w:rsidRDefault="00193375">
      <w:pPr>
        <w:spacing w:line="257" w:lineRule="auto"/>
        <w:rPr>
          <w:rFonts w:ascii="Calibri" w:eastAsia="Calibri" w:hAnsi="Calibri" w:cs="Calibri"/>
          <w:sz w:val="22"/>
          <w:shd w:val="clear" w:color="auto" w:fill="FFFF00"/>
        </w:rPr>
      </w:pPr>
      <w:r>
        <w:t xml:space="preserve">Net interest income for the first quarter of 2022 was $17.8 million, compared with $20.3 million in the prior quarter. While first quarter non-PPP loan interest income increased by $637,000, or 4%, and interest expense decreased by $91,000, a decrease in income from PPP loans of $3.5 million resulted in a $2.5 million decrease in net interest income. </w:t>
      </w:r>
    </w:p>
    <w:p w14:paraId="2007CCB0" w14:textId="77777777" w:rsidR="00A77B3E" w:rsidRDefault="00A77B3E">
      <w:pPr>
        <w:spacing w:line="257" w:lineRule="auto"/>
      </w:pPr>
    </w:p>
    <w:p w14:paraId="66443B1A" w14:textId="77777777" w:rsidR="00A77B3E" w:rsidRDefault="00193375">
      <w:pPr>
        <w:spacing w:line="257" w:lineRule="auto"/>
        <w:rPr>
          <w:rFonts w:ascii="Arial" w:eastAsia="Arial" w:hAnsi="Arial" w:cs="Arial"/>
        </w:rPr>
      </w:pPr>
      <w:r>
        <w:t xml:space="preserve">Net interest margin for the first quarter of 2022 was 3.40%, compared with 3.74% in the prior quarter. The decrease was primarily related to lower PPP fee and interest income in the first quarter of 2022. The yield on average loans in the first quarter of 2022 was 4.70%, a decrease of 79 basis points from 5.49% in the prior quarter. The decrease was primarily the result of a decrease in the PPP interest income due to lower accelerated deferred loan fees resulting from SBA PPP loan forgiveness during the first quarter of 2022, coupled with lower accelerated discount accretion from acquired and purchased loans.  The yield on average loans in the first quarter of 2022, excluding PPP loans, was 4.45%, a decrease of 13 basis points from 4.58% in the prior quarter. Average PPP loan yields in the first quarter of 2022 decreased to 15.38%, compared to 15.79% in the prior quarter. The yield on total earning assets in the first quarter of 2022 was 3.54%, compared with 3.89% in the prior quarter. </w:t>
      </w:r>
    </w:p>
    <w:p w14:paraId="629C3301" w14:textId="77777777" w:rsidR="00A77B3E" w:rsidRDefault="00A77B3E">
      <w:pPr>
        <w:spacing w:line="276" w:lineRule="auto"/>
        <w:rPr>
          <w:rFonts w:ascii="Arial" w:eastAsia="Arial" w:hAnsi="Arial" w:cs="Arial"/>
        </w:rPr>
      </w:pPr>
    </w:p>
    <w:p w14:paraId="1D5D900C" w14:textId="77777777" w:rsidR="00A77B3E" w:rsidRDefault="00193375">
      <w:pPr>
        <w:spacing w:line="257" w:lineRule="auto"/>
        <w:rPr>
          <w:rFonts w:ascii="Calibri" w:eastAsia="Calibri" w:hAnsi="Calibri" w:cs="Calibri"/>
          <w:sz w:val="22"/>
        </w:rPr>
      </w:pPr>
      <w:r>
        <w:t>Cost of funds for the first quarter of 2022 was 0.14%, down from 0.15% in the prior quarter, as the Company continues to align funding costs of the legacy Bank of Santa Clarita with those of the Bank of Southern California. Average noninterest-bearing demand deposits decreased $17.0 million to $990.2 million and represented 50.2% of total average deposits for the first quarter of 2022, compared with $1.01 billion and 50.4%, respectively, for the prior quarter. The total cost of deposits in the first quarter of 2022 was 0.08%, down from 0.09% in the prior quarter.</w:t>
      </w:r>
    </w:p>
    <w:p w14:paraId="296BD84E" w14:textId="77777777" w:rsidR="00A77B3E" w:rsidRDefault="00A77B3E">
      <w:pPr>
        <w:spacing w:line="276" w:lineRule="auto"/>
        <w:rPr>
          <w:rFonts w:ascii="Arial" w:eastAsia="Arial" w:hAnsi="Arial" w:cs="Arial"/>
        </w:rPr>
      </w:pPr>
    </w:p>
    <w:p w14:paraId="2955E7CD" w14:textId="77777777" w:rsidR="00A77B3E" w:rsidRDefault="00193375">
      <w:pPr>
        <w:spacing w:line="257" w:lineRule="auto"/>
        <w:rPr>
          <w:rFonts w:ascii="Calibri" w:eastAsia="Calibri" w:hAnsi="Calibri" w:cs="Calibri"/>
          <w:sz w:val="22"/>
        </w:rPr>
      </w:pPr>
      <w:r>
        <w:t xml:space="preserve">Average total borrowings decreased $6.6 million to $20.4 million for the first quarter of 2022. The average cost of borrowings was 6.16%, up from 4.81% in the prior quarter.  </w:t>
      </w:r>
    </w:p>
    <w:p w14:paraId="5FAA778A" w14:textId="77777777" w:rsidR="00A77B3E" w:rsidRDefault="00A77B3E">
      <w:pPr>
        <w:spacing w:line="288" w:lineRule="auto"/>
        <w:rPr>
          <w:shd w:val="clear" w:color="auto" w:fill="FFFF00"/>
        </w:rPr>
      </w:pPr>
    </w:p>
    <w:p w14:paraId="29B8E1B2" w14:textId="77777777" w:rsidR="00A77B3E" w:rsidRDefault="00193375">
      <w:pPr>
        <w:spacing w:line="288" w:lineRule="auto"/>
        <w:rPr>
          <w:rFonts w:ascii="Calibri" w:eastAsia="Calibri" w:hAnsi="Calibri" w:cs="Calibri"/>
          <w:shd w:val="clear" w:color="auto" w:fill="FFFFFF"/>
        </w:rPr>
      </w:pPr>
      <w:r>
        <w:rPr>
          <w:b/>
          <w:shd w:val="clear" w:color="auto" w:fill="FFFFFF"/>
        </w:rPr>
        <w:t>Provision for Loan Losses</w:t>
      </w:r>
    </w:p>
    <w:p w14:paraId="34B7271B" w14:textId="77777777" w:rsidR="00A77B3E" w:rsidRDefault="00A77B3E">
      <w:pPr>
        <w:spacing w:line="288" w:lineRule="auto"/>
        <w:rPr>
          <w:rFonts w:ascii="Calibri" w:eastAsia="Calibri" w:hAnsi="Calibri" w:cs="Calibri"/>
        </w:rPr>
      </w:pPr>
    </w:p>
    <w:p w14:paraId="71640E8C" w14:textId="77777777" w:rsidR="00A77B3E" w:rsidRDefault="00193375">
      <w:pPr>
        <w:spacing w:line="257" w:lineRule="auto"/>
        <w:rPr>
          <w:rFonts w:ascii="Calibri" w:eastAsia="Calibri" w:hAnsi="Calibri" w:cs="Calibri"/>
          <w:sz w:val="22"/>
          <w:shd w:val="clear" w:color="auto" w:fill="FFFF00"/>
        </w:rPr>
      </w:pPr>
      <w:r>
        <w:t xml:space="preserve">The Company recorded a loan loss provision of $1.9 million in the first quarter of 2022, primarily related to strong organic loan growth. In the fourth quarter of 2021, the Company recorded a loan loss provision of $1.2 million. The Company’s management continues to monitor macroeconomic variables related to COVID-19 and reasonably believes it is appropriately provisioned for the current environment. </w:t>
      </w:r>
    </w:p>
    <w:p w14:paraId="268F0599" w14:textId="215F58C5" w:rsidR="00A77B3E" w:rsidRDefault="00A77B3E">
      <w:pPr>
        <w:spacing w:line="288" w:lineRule="auto"/>
        <w:rPr>
          <w:rFonts w:ascii="Calibri" w:eastAsia="Calibri" w:hAnsi="Calibri" w:cs="Calibri"/>
        </w:rPr>
      </w:pPr>
    </w:p>
    <w:p w14:paraId="61DD41E6" w14:textId="77777777" w:rsidR="00307428" w:rsidRDefault="00307428">
      <w:pPr>
        <w:spacing w:line="288" w:lineRule="auto"/>
        <w:rPr>
          <w:rFonts w:ascii="Calibri" w:eastAsia="Calibri" w:hAnsi="Calibri" w:cs="Calibri"/>
        </w:rPr>
      </w:pPr>
    </w:p>
    <w:p w14:paraId="57D6986C" w14:textId="77777777" w:rsidR="00A77B3E" w:rsidRDefault="00193375">
      <w:pPr>
        <w:spacing w:line="288" w:lineRule="auto"/>
        <w:rPr>
          <w:rFonts w:ascii="Calibri" w:eastAsia="Calibri" w:hAnsi="Calibri" w:cs="Calibri"/>
          <w:sz w:val="22"/>
          <w:shd w:val="clear" w:color="auto" w:fill="FFFFFF"/>
        </w:rPr>
      </w:pPr>
      <w:r>
        <w:rPr>
          <w:b/>
          <w:shd w:val="clear" w:color="auto" w:fill="FFFFFF"/>
        </w:rPr>
        <w:lastRenderedPageBreak/>
        <w:t xml:space="preserve">Noninterest Income </w:t>
      </w:r>
    </w:p>
    <w:p w14:paraId="5EA238E8" w14:textId="77777777" w:rsidR="00A77B3E" w:rsidRDefault="00A77B3E">
      <w:pPr>
        <w:spacing w:line="288" w:lineRule="auto"/>
        <w:rPr>
          <w:rFonts w:ascii="Calibri" w:eastAsia="Calibri" w:hAnsi="Calibri" w:cs="Calibri"/>
        </w:rPr>
      </w:pPr>
    </w:p>
    <w:p w14:paraId="106DF5AD" w14:textId="77777777" w:rsidR="00A77B3E" w:rsidRDefault="00193375">
      <w:pPr>
        <w:spacing w:line="257" w:lineRule="auto"/>
      </w:pPr>
      <w:r>
        <w:t>Total noninterest income in the first quarter of 2022 was $1.6 million, an increase of $1.1 million compared with noninterest income of $526,000 in the fourth quarter of 2021. The increase was due primarily to a $613,000 increase in bank owned life insurance income.  In the first quarter of 2022, income from servicing and related income on loans increased by $61,000 and other charges and fees increased by $68,000, compared with the prior quarter. Additionally, in the fourth quarter of 2021 the Company recorded an adjustment of $291,000 from the gain on branch sale that took place in the third quarter of 2021, for which there was no corresponding transaction in the first quarter of 2022.</w:t>
      </w:r>
    </w:p>
    <w:p w14:paraId="657695B5" w14:textId="77777777" w:rsidR="00A77B3E" w:rsidRDefault="00A77B3E">
      <w:pPr>
        <w:spacing w:line="288" w:lineRule="auto"/>
        <w:rPr>
          <w:rFonts w:ascii="Calibri" w:eastAsia="Calibri" w:hAnsi="Calibri" w:cs="Calibri"/>
        </w:rPr>
      </w:pPr>
    </w:p>
    <w:p w14:paraId="115A32DF" w14:textId="77777777" w:rsidR="00A77B3E" w:rsidRDefault="00193375">
      <w:pPr>
        <w:spacing w:line="288" w:lineRule="auto"/>
        <w:rPr>
          <w:rFonts w:ascii="Calibri" w:eastAsia="Calibri" w:hAnsi="Calibri" w:cs="Calibri"/>
          <w:sz w:val="22"/>
          <w:shd w:val="clear" w:color="auto" w:fill="FFFFFF"/>
        </w:rPr>
      </w:pPr>
      <w:r>
        <w:rPr>
          <w:b/>
          <w:shd w:val="clear" w:color="auto" w:fill="FFFFFF"/>
        </w:rPr>
        <w:t>Noninterest Expense</w:t>
      </w:r>
    </w:p>
    <w:p w14:paraId="4C5E60FD" w14:textId="77777777" w:rsidR="00A77B3E" w:rsidRDefault="00A77B3E">
      <w:pPr>
        <w:spacing w:line="288" w:lineRule="auto"/>
        <w:rPr>
          <w:rFonts w:ascii="Calibri" w:eastAsia="Calibri" w:hAnsi="Calibri" w:cs="Calibri"/>
        </w:rPr>
      </w:pPr>
    </w:p>
    <w:p w14:paraId="5BBBAACB" w14:textId="77777777" w:rsidR="00A77B3E" w:rsidRDefault="00193375">
      <w:pPr>
        <w:spacing w:line="269" w:lineRule="auto"/>
        <w:rPr>
          <w:shd w:val="clear" w:color="auto" w:fill="FFFF00"/>
        </w:rPr>
      </w:pPr>
      <w:r>
        <w:t>Noninterest expense for the first quarter of 2022 increased $686,000 to $15.6 million, compared with $14.9 million in the prior quarter. The increase was primarily due to an increase of $1.0 million in salaries and benefits related to the increase in new hires, including the expansion of the SBA lending division, and seasonal increases in payroll taxes and benefits expense, partially offset by a decrease of $445,000 in merger and related expenses.</w:t>
      </w:r>
    </w:p>
    <w:p w14:paraId="49940244" w14:textId="77777777" w:rsidR="00A77B3E" w:rsidRDefault="00A77B3E">
      <w:pPr>
        <w:spacing w:line="288" w:lineRule="auto"/>
        <w:rPr>
          <w:rFonts w:ascii="Calibri" w:eastAsia="Calibri" w:hAnsi="Calibri" w:cs="Calibri"/>
        </w:rPr>
      </w:pPr>
    </w:p>
    <w:p w14:paraId="4E27C058" w14:textId="77777777" w:rsidR="00A77B3E" w:rsidRDefault="00193375">
      <w:pPr>
        <w:spacing w:line="288" w:lineRule="auto"/>
        <w:rPr>
          <w:rFonts w:ascii="Calibri" w:eastAsia="Calibri" w:hAnsi="Calibri" w:cs="Calibri"/>
          <w:sz w:val="22"/>
        </w:rPr>
      </w:pPr>
      <w:r>
        <w:rPr>
          <w:b/>
          <w:shd w:val="clear" w:color="auto" w:fill="FFFFFF"/>
        </w:rPr>
        <w:t xml:space="preserve">Income Tax </w:t>
      </w:r>
    </w:p>
    <w:p w14:paraId="660AE168" w14:textId="77777777" w:rsidR="00A77B3E" w:rsidRDefault="00A77B3E">
      <w:pPr>
        <w:spacing w:line="288" w:lineRule="auto"/>
        <w:rPr>
          <w:rFonts w:ascii="Calibri" w:eastAsia="Calibri" w:hAnsi="Calibri" w:cs="Calibri"/>
        </w:rPr>
      </w:pPr>
    </w:p>
    <w:p w14:paraId="4A765322" w14:textId="77777777" w:rsidR="00A77B3E" w:rsidRDefault="00193375">
      <w:pPr>
        <w:spacing w:line="257" w:lineRule="auto"/>
        <w:rPr>
          <w:rFonts w:ascii="Calibri" w:eastAsia="Calibri" w:hAnsi="Calibri" w:cs="Calibri"/>
          <w:sz w:val="22"/>
        </w:rPr>
      </w:pPr>
      <w:r>
        <w:t>In the first quarter of 2022, the Company’s income tax expense was $550,000, compared with $1.4 million in the fourth quarter of 2021. The effective rate was 27.6% for the first quarter of 2022 and 29.6% for the fourth quarter of 2021.  The effective tax rate for 2022 is expected to be 27.6%.</w:t>
      </w:r>
    </w:p>
    <w:p w14:paraId="38601EF6" w14:textId="77777777" w:rsidR="00A77B3E" w:rsidRDefault="00A77B3E">
      <w:pPr>
        <w:spacing w:line="288" w:lineRule="auto"/>
        <w:rPr>
          <w:shd w:val="clear" w:color="auto" w:fill="FFFF00"/>
        </w:rPr>
      </w:pPr>
    </w:p>
    <w:p w14:paraId="5A909483" w14:textId="77777777" w:rsidR="00A77B3E" w:rsidRDefault="00193375">
      <w:pPr>
        <w:keepNext/>
        <w:spacing w:line="288" w:lineRule="auto"/>
        <w:rPr>
          <w:rFonts w:ascii="Calibri" w:eastAsia="Calibri" w:hAnsi="Calibri" w:cs="Calibri"/>
          <w:sz w:val="22"/>
          <w:shd w:val="clear" w:color="auto" w:fill="FFFFFF"/>
        </w:rPr>
      </w:pPr>
      <w:r>
        <w:rPr>
          <w:b/>
          <w:u w:val="single"/>
          <w:shd w:val="clear" w:color="auto" w:fill="FFFFFF"/>
        </w:rPr>
        <w:t>Balance Sheet</w:t>
      </w:r>
    </w:p>
    <w:p w14:paraId="779E5AED" w14:textId="77777777" w:rsidR="00A77B3E" w:rsidRDefault="00A77B3E">
      <w:pPr>
        <w:keepNext/>
        <w:keepLines/>
        <w:widowControl w:val="0"/>
        <w:spacing w:line="288" w:lineRule="auto"/>
        <w:rPr>
          <w:rFonts w:ascii="Calibri" w:eastAsia="Calibri" w:hAnsi="Calibri" w:cs="Calibri"/>
          <w:shd w:val="clear" w:color="auto" w:fill="FFFFFF"/>
        </w:rPr>
      </w:pPr>
    </w:p>
    <w:p w14:paraId="1113212C" w14:textId="77777777" w:rsidR="00A77B3E" w:rsidRDefault="00193375">
      <w:pPr>
        <w:spacing w:line="288" w:lineRule="auto"/>
        <w:rPr>
          <w:rFonts w:ascii="Calibri" w:eastAsia="Calibri" w:hAnsi="Calibri" w:cs="Calibri"/>
          <w:sz w:val="22"/>
          <w:shd w:val="clear" w:color="auto" w:fill="FFFFFF"/>
        </w:rPr>
      </w:pPr>
      <w:r>
        <w:rPr>
          <w:b/>
          <w:shd w:val="clear" w:color="auto" w:fill="FFFFFF"/>
        </w:rPr>
        <w:t>Assets</w:t>
      </w:r>
    </w:p>
    <w:p w14:paraId="25EC5E31" w14:textId="77777777" w:rsidR="00A77B3E" w:rsidRDefault="00A77B3E">
      <w:pPr>
        <w:spacing w:line="288" w:lineRule="auto"/>
        <w:rPr>
          <w:rFonts w:ascii="Calibri" w:eastAsia="Calibri" w:hAnsi="Calibri" w:cs="Calibri"/>
        </w:rPr>
      </w:pPr>
    </w:p>
    <w:p w14:paraId="77E64308" w14:textId="33911DE6" w:rsidR="00A77B3E" w:rsidRDefault="00193375">
      <w:pPr>
        <w:spacing w:line="257" w:lineRule="auto"/>
        <w:rPr>
          <w:rFonts w:ascii="Calibri" w:eastAsia="Calibri" w:hAnsi="Calibri" w:cs="Calibri"/>
          <w:sz w:val="22"/>
          <w:shd w:val="clear" w:color="auto" w:fill="FFFF00"/>
        </w:rPr>
      </w:pPr>
      <w:r>
        <w:t xml:space="preserve">Total assets at March 31, 2022, were $2.30 billion, an increase of $38.0 million or 1.7% from December 31, 2021. The increase in total assets from the prior quarter was primarily related to a $125.1 million increase in total loans and an $83.9 million increase in debt securities, of which $44.9 million </w:t>
      </w:r>
      <w:r w:rsidR="005F49F1">
        <w:t>were classified as</w:t>
      </w:r>
      <w:r>
        <w:t xml:space="preserve"> held-to-maturity securities, partially offset by a $173.8 million decrease in cash.</w:t>
      </w:r>
    </w:p>
    <w:p w14:paraId="57A683D0" w14:textId="77777777" w:rsidR="00A77B3E" w:rsidRDefault="00A77B3E">
      <w:pPr>
        <w:spacing w:line="288" w:lineRule="auto"/>
        <w:rPr>
          <w:rFonts w:ascii="Calibri" w:eastAsia="Calibri" w:hAnsi="Calibri" w:cs="Calibri"/>
        </w:rPr>
      </w:pPr>
    </w:p>
    <w:p w14:paraId="2A1BB0C9" w14:textId="77777777" w:rsidR="00A77B3E" w:rsidRDefault="00193375">
      <w:pPr>
        <w:spacing w:line="288" w:lineRule="auto"/>
        <w:rPr>
          <w:rFonts w:ascii="Calibri" w:eastAsia="Calibri" w:hAnsi="Calibri" w:cs="Calibri"/>
          <w:sz w:val="22"/>
          <w:shd w:val="clear" w:color="auto" w:fill="FFFFFF"/>
        </w:rPr>
      </w:pPr>
      <w:r>
        <w:rPr>
          <w:b/>
          <w:shd w:val="clear" w:color="auto" w:fill="FFFFFF"/>
        </w:rPr>
        <w:t>Loans</w:t>
      </w:r>
    </w:p>
    <w:p w14:paraId="0359C9EB" w14:textId="77777777" w:rsidR="00A77B3E" w:rsidRDefault="00A77B3E">
      <w:pPr>
        <w:spacing w:line="288" w:lineRule="auto"/>
        <w:rPr>
          <w:rFonts w:ascii="Calibri" w:eastAsia="Calibri" w:hAnsi="Calibri" w:cs="Calibri"/>
        </w:rPr>
      </w:pPr>
    </w:p>
    <w:p w14:paraId="26A3E702" w14:textId="77777777" w:rsidR="00A77B3E" w:rsidRDefault="00193375">
      <w:pPr>
        <w:spacing w:line="257" w:lineRule="auto"/>
        <w:rPr>
          <w:rFonts w:ascii="Calibri" w:eastAsia="Calibri" w:hAnsi="Calibri" w:cs="Calibri"/>
          <w:sz w:val="22"/>
        </w:rPr>
      </w:pPr>
      <w:r>
        <w:t>Total loans held for investment were $1.63 billion at March 31, 2022, compared to $1.50 billion at December 31, 2021. In the first quarter of 2022, the Company’s loans held for investment, excluding PPP loans, had net organic growth of $165.8 million, or 11.5%, after total loan principal payoffs of approximately $105 million, and an outstanding organic non-PPP loan balance of $1.61 billion at March 31, 2022. There were $2.9 million in loans held for sale on the Company's balance sheet at March 31, 2022, related to the expansion of the SBA lending department, which are expected to be sold in the secondary market in the second quarter of 2022.</w:t>
      </w:r>
    </w:p>
    <w:p w14:paraId="78E1F8C3" w14:textId="77777777" w:rsidR="00A77B3E" w:rsidRDefault="00A77B3E">
      <w:pPr>
        <w:spacing w:line="276" w:lineRule="auto"/>
        <w:rPr>
          <w:rFonts w:ascii="Arial" w:eastAsia="Arial" w:hAnsi="Arial" w:cs="Arial"/>
        </w:rPr>
      </w:pPr>
    </w:p>
    <w:p w14:paraId="10114428" w14:textId="77777777" w:rsidR="00A77B3E" w:rsidRDefault="00193375">
      <w:pPr>
        <w:spacing w:line="257" w:lineRule="auto"/>
        <w:rPr>
          <w:rFonts w:ascii="Calibri" w:eastAsia="Calibri" w:hAnsi="Calibri" w:cs="Calibri"/>
          <w:sz w:val="22"/>
        </w:rPr>
      </w:pPr>
      <w:r>
        <w:lastRenderedPageBreak/>
        <w:t>During the first quarter of 2022, total commercial and industrial loans decreased by $32.1 million, as $43.5 million in PPP loans received forgiveness or pay downs, leaving an outstanding balance of $15.1 million in PPP loans at March 31, 2022. Total loans secured by real estate increased by $122.0 million, and construction and land development loans increased by $32.2 million.</w:t>
      </w:r>
    </w:p>
    <w:p w14:paraId="01707AFE" w14:textId="77777777" w:rsidR="00A77B3E" w:rsidRDefault="00A77B3E">
      <w:pPr>
        <w:spacing w:line="288" w:lineRule="auto"/>
        <w:rPr>
          <w:shd w:val="clear" w:color="auto" w:fill="FFFF00"/>
        </w:rPr>
      </w:pPr>
    </w:p>
    <w:p w14:paraId="532B0830" w14:textId="77777777" w:rsidR="00A77B3E" w:rsidRDefault="00193375">
      <w:pPr>
        <w:spacing w:line="288" w:lineRule="auto"/>
        <w:rPr>
          <w:rFonts w:ascii="Calibri" w:eastAsia="Calibri" w:hAnsi="Calibri" w:cs="Calibri"/>
          <w:shd w:val="clear" w:color="auto" w:fill="FFFFFF"/>
        </w:rPr>
      </w:pPr>
      <w:r>
        <w:rPr>
          <w:b/>
          <w:shd w:val="clear" w:color="auto" w:fill="FFFFFF"/>
        </w:rPr>
        <w:t>Deposits</w:t>
      </w:r>
    </w:p>
    <w:p w14:paraId="34E5EFD5" w14:textId="77777777" w:rsidR="00A77B3E" w:rsidRDefault="00A77B3E">
      <w:pPr>
        <w:spacing w:line="288" w:lineRule="auto"/>
        <w:rPr>
          <w:rFonts w:ascii="Calibri" w:eastAsia="Calibri" w:hAnsi="Calibri" w:cs="Calibri"/>
        </w:rPr>
      </w:pPr>
    </w:p>
    <w:p w14:paraId="742E8DE0" w14:textId="77777777" w:rsidR="00A77B3E" w:rsidRDefault="00193375">
      <w:pPr>
        <w:spacing w:line="257" w:lineRule="auto"/>
        <w:rPr>
          <w:rFonts w:ascii="Calibri" w:eastAsia="Calibri" w:hAnsi="Calibri" w:cs="Calibri"/>
          <w:sz w:val="22"/>
          <w:shd w:val="clear" w:color="auto" w:fill="FFFF00"/>
        </w:rPr>
      </w:pPr>
      <w:r>
        <w:t xml:space="preserve">Total deposits at March 31, 2022, were $2.01 billion, an increase of $39.8 million from December 31, 2021. Noninterest-bearing demand deposits at March 31, 2022 were $1.03 billion, or 51.3% of total deposits, compared to $986.9 million, or 50.0% of total deposits at December 31, 2021. </w:t>
      </w:r>
    </w:p>
    <w:p w14:paraId="3905BFDD" w14:textId="77777777" w:rsidR="00A77B3E" w:rsidRDefault="00A77B3E">
      <w:pPr>
        <w:spacing w:line="288" w:lineRule="auto"/>
        <w:rPr>
          <w:rFonts w:ascii="Calibri" w:eastAsia="Calibri" w:hAnsi="Calibri" w:cs="Calibri"/>
        </w:rPr>
      </w:pPr>
    </w:p>
    <w:p w14:paraId="2C9E53EF" w14:textId="77777777" w:rsidR="00A77B3E" w:rsidRDefault="00193375">
      <w:pPr>
        <w:spacing w:line="257" w:lineRule="auto"/>
        <w:rPr>
          <w:rFonts w:ascii="Calibri" w:eastAsia="Calibri" w:hAnsi="Calibri" w:cs="Calibri"/>
          <w:sz w:val="22"/>
          <w:shd w:val="clear" w:color="auto" w:fill="FFFFFF"/>
        </w:rPr>
      </w:pPr>
      <w:r>
        <w:rPr>
          <w:b/>
          <w:shd w:val="clear" w:color="auto" w:fill="FFFFFF"/>
        </w:rPr>
        <w:t xml:space="preserve">Asset </w:t>
      </w:r>
      <w:r>
        <w:rPr>
          <w:b/>
        </w:rPr>
        <w:t>Quality</w:t>
      </w:r>
    </w:p>
    <w:p w14:paraId="5106B8B6" w14:textId="77777777" w:rsidR="00A77B3E" w:rsidRDefault="00A77B3E">
      <w:pPr>
        <w:spacing w:line="288" w:lineRule="auto"/>
        <w:rPr>
          <w:rFonts w:ascii="Calibri" w:eastAsia="Calibri" w:hAnsi="Calibri" w:cs="Calibri"/>
        </w:rPr>
      </w:pPr>
    </w:p>
    <w:p w14:paraId="09E90380" w14:textId="77777777" w:rsidR="00A77B3E" w:rsidRDefault="00193375">
      <w:pPr>
        <w:spacing w:line="257" w:lineRule="auto"/>
      </w:pPr>
      <w:r>
        <w:t xml:space="preserve">Total non-performing assets totaled $2.0 million or 0.09% of total assets at March 31, 2022, compared with $809,000 or 0.04% at December 31, 2021. The increase in nonperforming loans in the first quarter of 2022 was primarily due to three loans that were downgraded to nonaccrual, partially offset by the payoff of one nonaccrual loan. The Company had one loan with a carrying value of $208,000 over 90 days past due that was still accruing interest at March 31, 2022.  During the first quarter of 2022, the Company recorded net recoveries of $27,000, compared to net recoveries of $92,000 in the fourth quarter of 2021. </w:t>
      </w:r>
    </w:p>
    <w:p w14:paraId="4B37EFC2" w14:textId="77777777" w:rsidR="00A77B3E" w:rsidRDefault="00A77B3E">
      <w:pPr>
        <w:spacing w:line="276" w:lineRule="auto"/>
        <w:rPr>
          <w:rFonts w:ascii="Arial" w:eastAsia="Arial" w:hAnsi="Arial" w:cs="Arial"/>
        </w:rPr>
      </w:pPr>
    </w:p>
    <w:p w14:paraId="3BF5D066" w14:textId="77777777" w:rsidR="00A77B3E" w:rsidRDefault="00193375">
      <w:pPr>
        <w:spacing w:line="257" w:lineRule="auto"/>
        <w:rPr>
          <w:rFonts w:ascii="Calibri" w:eastAsia="Calibri" w:hAnsi="Calibri" w:cs="Calibri"/>
          <w:sz w:val="22"/>
        </w:rPr>
      </w:pPr>
      <w:r>
        <w:t xml:space="preserve">Loan delinquencies (30-89 days past due) totaled $491,000 at March 31, 2022, compared to $1.0 million at December 31, 2021.  </w:t>
      </w:r>
    </w:p>
    <w:p w14:paraId="6048BA9C" w14:textId="77777777" w:rsidR="00A77B3E" w:rsidRDefault="00A77B3E">
      <w:pPr>
        <w:spacing w:line="276" w:lineRule="auto"/>
        <w:rPr>
          <w:rFonts w:ascii="Arial" w:eastAsia="Arial" w:hAnsi="Arial" w:cs="Arial"/>
        </w:rPr>
      </w:pPr>
    </w:p>
    <w:p w14:paraId="612BDF8A" w14:textId="77777777" w:rsidR="00A77B3E" w:rsidRDefault="00193375">
      <w:pPr>
        <w:spacing w:line="257" w:lineRule="auto"/>
        <w:rPr>
          <w:rFonts w:ascii="Calibri" w:eastAsia="Calibri" w:hAnsi="Calibri" w:cs="Calibri"/>
          <w:sz w:val="22"/>
        </w:rPr>
      </w:pPr>
      <w:r>
        <w:t>The allowance for loan losses (“ALLL”) was $13.5 million at March 31, 2022, compared to $11.7 million at December 31, 2021. The ALLL to total loans was 0.83% and 0.77% at March 31, 2022, and December 31, 2021. The ALLL to total loans, excluding PPP loans was 0.84% and 0.81% at March 31, 2022, and December 31, 2021. The net carrying value of acquired loans totaled $345.5 million and included a remaining net discount of $2.6 million at March 31, 2022. This discount is available to absorb losses on the acquired loans and represented 0.74% of the net carrying value of acquired loans and 0.16% of total gross loans held for investment.</w:t>
      </w:r>
    </w:p>
    <w:p w14:paraId="6B2BAE69" w14:textId="77777777" w:rsidR="00A77B3E" w:rsidRDefault="00A77B3E">
      <w:pPr>
        <w:spacing w:line="288" w:lineRule="auto"/>
        <w:rPr>
          <w:shd w:val="clear" w:color="auto" w:fill="FFFF00"/>
        </w:rPr>
      </w:pPr>
    </w:p>
    <w:p w14:paraId="05CEE6F6" w14:textId="77777777" w:rsidR="00A77B3E" w:rsidRDefault="00193375">
      <w:pPr>
        <w:spacing w:line="288" w:lineRule="auto"/>
        <w:rPr>
          <w:rFonts w:ascii="Calibri" w:eastAsia="Calibri" w:hAnsi="Calibri" w:cs="Calibri"/>
          <w:sz w:val="22"/>
          <w:shd w:val="clear" w:color="auto" w:fill="FFFFFF"/>
        </w:rPr>
      </w:pPr>
      <w:r>
        <w:rPr>
          <w:b/>
          <w:shd w:val="clear" w:color="auto" w:fill="FFFFFF"/>
        </w:rPr>
        <w:t>Liquidity and Capital</w:t>
      </w:r>
    </w:p>
    <w:p w14:paraId="6D7F25BC" w14:textId="77777777" w:rsidR="00A77B3E" w:rsidRDefault="00A77B3E">
      <w:pPr>
        <w:spacing w:after="2" w:line="300" w:lineRule="auto"/>
        <w:rPr>
          <w:rFonts w:ascii="Calibri" w:eastAsia="Calibri" w:hAnsi="Calibri" w:cs="Calibri"/>
          <w:sz w:val="22"/>
        </w:rPr>
      </w:pPr>
    </w:p>
    <w:p w14:paraId="41D78A3E" w14:textId="77777777" w:rsidR="00A77B3E" w:rsidRDefault="00193375">
      <w:pPr>
        <w:spacing w:line="257" w:lineRule="auto"/>
      </w:pPr>
      <w:r>
        <w:t xml:space="preserve">At March 31, 2022, total deposits had increased 38.5% over the same period of 2021. As a result of this significant growth in deposits and a strong cash balance due to the quick pace of PPP loan forgiveness, we believe that we currently have sufficient liquidity resources to meet the needs of Bank customers.  </w:t>
      </w:r>
    </w:p>
    <w:p w14:paraId="04DF4A90" w14:textId="77777777" w:rsidR="00A77B3E" w:rsidRDefault="00A77B3E">
      <w:pPr>
        <w:spacing w:line="257" w:lineRule="auto"/>
      </w:pPr>
    </w:p>
    <w:p w14:paraId="053C2838" w14:textId="77777777" w:rsidR="00A77B3E" w:rsidRDefault="00193375">
      <w:pPr>
        <w:spacing w:line="257" w:lineRule="auto"/>
      </w:pPr>
      <w:r>
        <w:t xml:space="preserve">Tangible book value per common share at March 31, 2022, was $11.72, compared with $11.73 at December 31, 2021.  The $0.01 decrease from December 31, 2021, was primarily related to the $2.3 million increase in the accumulated other comprehensive loss related to the fair value of debt securities available for sale, compared to $38,000 at December 31, 2021.  </w:t>
      </w:r>
    </w:p>
    <w:p w14:paraId="6FDF9EC5" w14:textId="77777777" w:rsidR="00A77B3E" w:rsidRDefault="00A77B3E">
      <w:pPr>
        <w:spacing w:line="257" w:lineRule="auto"/>
      </w:pPr>
    </w:p>
    <w:p w14:paraId="70DACEC5" w14:textId="77777777" w:rsidR="00A77B3E" w:rsidRDefault="00193375">
      <w:pPr>
        <w:spacing w:line="257" w:lineRule="auto"/>
      </w:pPr>
      <w:r>
        <w:t xml:space="preserve">The Bank’s leverage capital ratio and total risk-based capital ratio were 10.08% and 13.70%, respectively, at March 31, 2021. </w:t>
      </w:r>
    </w:p>
    <w:p w14:paraId="153B484A" w14:textId="77777777" w:rsidR="00A77B3E" w:rsidRDefault="00A77B3E">
      <w:pPr>
        <w:spacing w:line="288" w:lineRule="auto"/>
        <w:rPr>
          <w:shd w:val="clear" w:color="auto" w:fill="FFFF00"/>
        </w:rPr>
      </w:pPr>
    </w:p>
    <w:p w14:paraId="1E5107F1" w14:textId="77777777" w:rsidR="00A77B3E" w:rsidRDefault="00193375">
      <w:pPr>
        <w:spacing w:line="288" w:lineRule="auto"/>
        <w:rPr>
          <w:rFonts w:ascii="Calibri" w:eastAsia="Calibri" w:hAnsi="Calibri" w:cs="Calibri"/>
          <w:sz w:val="22"/>
          <w:shd w:val="clear" w:color="auto" w:fill="FFFFFF"/>
        </w:rPr>
      </w:pPr>
      <w:r>
        <w:rPr>
          <w:rFonts w:ascii="Calibri" w:eastAsia="Calibri" w:hAnsi="Calibri" w:cs="Calibri"/>
          <w:b/>
          <w:shd w:val="clear" w:color="auto" w:fill="FFFFFF"/>
        </w:rPr>
        <w:lastRenderedPageBreak/>
        <w:t>ABOUT BANK OF SOUTHERN CALIFORNIA AND SOUTHERN CALIFORNIA BANCORP</w:t>
      </w:r>
    </w:p>
    <w:p w14:paraId="25AA5FDA" w14:textId="77777777" w:rsidR="00A77B3E" w:rsidRDefault="00193375">
      <w:pPr>
        <w:spacing w:line="257" w:lineRule="auto"/>
      </w:pPr>
      <w:r>
        <w:t xml:space="preserve">Southern California Bancorp (OTC Pink: BCAL) is a registered bank holding company headquartered in San Diego, California. Bank of Southern California, N.A., a national banking association chartered under the laws of the United States and regulated by the Office of Comptroller of the Currency, is a wholly owned subsidiary of Southern California Bancorp.  Established in 2001 and headquartered in San Diego, California, Bank of Southern California, N.A. offers a range of financial products and services to individuals, professionals, and small- to medium-sized businesses through its 13 branch offices serving San Diego, Orange, Los Angeles, and Ventura counties, as well as the Inland Empire. The Bank's solutions-driven, relationship-based approach to banking provides accessibility to decision makers and enhances value through strong partnerships with its clients. Additional information is available at </w:t>
      </w:r>
      <w:hyperlink r:id="rId8" w:history="1">
        <w:r w:rsidRPr="00307428">
          <w:t>www.banksocal.com</w:t>
        </w:r>
      </w:hyperlink>
      <w:r>
        <w:t>.</w:t>
      </w:r>
    </w:p>
    <w:p w14:paraId="142BE39F" w14:textId="77777777" w:rsidR="00A77B3E" w:rsidRDefault="00A77B3E">
      <w:pPr>
        <w:spacing w:line="257" w:lineRule="auto"/>
      </w:pPr>
    </w:p>
    <w:p w14:paraId="72C811CA" w14:textId="77777777" w:rsidR="00A77B3E" w:rsidRDefault="00193375">
      <w:pPr>
        <w:spacing w:line="257" w:lineRule="auto"/>
      </w:pPr>
      <w:r>
        <w:t xml:space="preserve">Southern California Bancorp’s common stock is traded on the OTC Markets Group Inc. Pink Open Market under the symbol “BCAL.”  For more information, please visit </w:t>
      </w:r>
      <w:hyperlink r:id="rId9" w:history="1">
        <w:r w:rsidRPr="00307428">
          <w:t>banksocal.com</w:t>
        </w:r>
      </w:hyperlink>
      <w:r>
        <w:t> or call (844) BNK-SOCA</w:t>
      </w:r>
      <w:r w:rsidRPr="00307428">
        <w:t>L.</w:t>
      </w:r>
    </w:p>
    <w:p w14:paraId="005F7A15" w14:textId="77777777" w:rsidR="00A77B3E" w:rsidRDefault="00A77B3E">
      <w:pPr>
        <w:spacing w:after="2" w:line="300" w:lineRule="auto"/>
        <w:rPr>
          <w:rFonts w:ascii="Calibri" w:eastAsia="Calibri" w:hAnsi="Calibri" w:cs="Calibri"/>
          <w:sz w:val="22"/>
        </w:rPr>
      </w:pPr>
    </w:p>
    <w:p w14:paraId="69DB294E" w14:textId="77777777" w:rsidR="00A77B3E" w:rsidRDefault="00193375">
      <w:pPr>
        <w:spacing w:line="288" w:lineRule="auto"/>
        <w:rPr>
          <w:rFonts w:ascii="Calibri" w:eastAsia="Calibri" w:hAnsi="Calibri" w:cs="Calibri"/>
          <w:b/>
          <w:shd w:val="clear" w:color="auto" w:fill="FFFFFF"/>
        </w:rPr>
      </w:pPr>
      <w:r>
        <w:rPr>
          <w:rFonts w:ascii="Calibri" w:eastAsia="Calibri" w:hAnsi="Calibri" w:cs="Calibri"/>
          <w:b/>
          <w:shd w:val="clear" w:color="auto" w:fill="FFFFFF"/>
        </w:rPr>
        <w:t>NON-GAAP FINANCIAL MEASURES</w:t>
      </w:r>
    </w:p>
    <w:p w14:paraId="17CC7F97" w14:textId="77777777" w:rsidR="00A77B3E" w:rsidRDefault="00193375">
      <w:pPr>
        <w:spacing w:line="257" w:lineRule="auto"/>
      </w:pPr>
      <w:r>
        <w:t>This press release contains certain non-GAAP financial measures in addition to results presented in accordance</w:t>
      </w:r>
    </w:p>
    <w:p w14:paraId="1B477516" w14:textId="77777777" w:rsidR="00A77B3E" w:rsidRDefault="00193375">
      <w:pPr>
        <w:spacing w:line="257" w:lineRule="auto"/>
      </w:pPr>
      <w:r>
        <w:t>with GAAP. The Company uses certain non-GAAP financial measures to provide meaningful supplemental information regarding the Company's results of operations and financial condition and to enhance investors' overall understanding of such results of operations and financial condition, permit investors to effectively analyze financial trends of our business activities, and enhance comparability with peers across the financial services sector.  These non-GAAP financial measures are not a substitute for GAAP measures and should be read in conjunction with the Company's GAAP financial information.  A reconciliation of GAAP financial measures to non-GAAP financial measures is included in the accompanying financial tables.</w:t>
      </w:r>
    </w:p>
    <w:p w14:paraId="1F638D6F" w14:textId="77777777" w:rsidR="00A77B3E" w:rsidRDefault="00A77B3E">
      <w:pPr>
        <w:spacing w:line="288" w:lineRule="auto"/>
        <w:jc w:val="center"/>
        <w:rPr>
          <w:rFonts w:ascii="Calibri" w:eastAsia="Calibri" w:hAnsi="Calibri" w:cs="Calibri"/>
        </w:rPr>
      </w:pPr>
    </w:p>
    <w:p w14:paraId="493596E4" w14:textId="77777777" w:rsidR="00A77B3E" w:rsidRDefault="00193375">
      <w:pPr>
        <w:spacing w:line="288" w:lineRule="auto"/>
        <w:rPr>
          <w:rFonts w:ascii="Calibri" w:eastAsia="Calibri" w:hAnsi="Calibri" w:cs="Calibri"/>
          <w:sz w:val="22"/>
        </w:rPr>
      </w:pPr>
      <w:r>
        <w:rPr>
          <w:rFonts w:ascii="Calibri" w:eastAsia="Calibri" w:hAnsi="Calibri" w:cs="Calibri"/>
          <w:b/>
        </w:rPr>
        <w:t>FORWARD-LOOKING STATEMENTS</w:t>
      </w:r>
    </w:p>
    <w:p w14:paraId="27EA922E" w14:textId="77777777" w:rsidR="00A77B3E" w:rsidRPr="00307428" w:rsidRDefault="00193375" w:rsidP="00307428">
      <w:pPr>
        <w:spacing w:line="257" w:lineRule="auto"/>
      </w:pPr>
      <w:r w:rsidRPr="00307428">
        <w:t xml:space="preserve">In addition to historical information, certain matters set forth herein constitute forward-looking statements within the meaning of the Private Securities Litigation Reform Act of 1995, including forward-looking statements relating to management’s beliefs, projections and assumptions concerning future results and events. Forward-looking statements include descriptions of management’s plans or objectives for future operations, products or services, and forecasts of Southern California Bancorp’s revenues, earnings, or other measures of economic performance. As well, forward-looking statements may relate to future outlook and anticipated events. These forward-looking statements involve risks and uncertainties, based on the beliefs and assumptions </w:t>
      </w:r>
    </w:p>
    <w:p w14:paraId="6CF6B105" w14:textId="77777777" w:rsidR="00A77B3E" w:rsidRPr="00307428" w:rsidRDefault="00193375" w:rsidP="00307428">
      <w:pPr>
        <w:spacing w:line="257" w:lineRule="auto"/>
      </w:pPr>
      <w:r w:rsidRPr="00307428">
        <w:t>of management and on the information available to management at the time that such forward-looking statements were made and can be identified by the fact that they do not relate strictly to historical or current facts. They often include the words or phrases such as “aim,” “can,” "may," "could," "predict," "should," "will," "would," "believe," "anticipate," "estimate," "expect," “hope,” "intend," "plan," “potential," “project,” "will likely result," "continue," "seek," “shall,” “possible,” "projection," “optimistic,” and "outlook," and variations of these words and similar expressions or the negative version of those words or phrases.</w:t>
      </w:r>
    </w:p>
    <w:p w14:paraId="4EF20381" w14:textId="77777777" w:rsidR="00A77B3E" w:rsidRPr="00307428" w:rsidRDefault="00193375" w:rsidP="00307428">
      <w:pPr>
        <w:spacing w:line="257" w:lineRule="auto"/>
      </w:pPr>
      <w:r w:rsidRPr="00307428">
        <w:t xml:space="preserve">Forward-looking statements involve substantial risks and uncertainties, many of which are difficult to predict and are generally beyond our control. Many factors could cause actual results to differ materially from those contemplated by these forward-looking statements. Except to the extent required by applicable law or regulation, Southern California Bancorp does not undertake, and specifically disclaims any obligation, to update any forward-looking statements to reflect occurrences or unanticipated events or circumstances after the date of such statements except as required by law. </w:t>
      </w:r>
    </w:p>
    <w:p w14:paraId="357D3AEA" w14:textId="77777777" w:rsidR="00A77B3E" w:rsidRDefault="00A77B3E">
      <w:pPr>
        <w:spacing w:after="2" w:line="300" w:lineRule="auto"/>
        <w:rPr>
          <w:rFonts w:ascii="Calibri" w:eastAsia="Calibri" w:hAnsi="Calibri" w:cs="Calibri"/>
        </w:rPr>
        <w:sectPr w:rsidR="00A77B3E">
          <w:headerReference w:type="default" r:id="rId10"/>
          <w:footerReference w:type="default" r:id="rId11"/>
          <w:headerReference w:type="first" r:id="rId12"/>
          <w:footerReference w:type="first" r:id="rId13"/>
          <w:type w:val="continuous"/>
          <w:pgSz w:w="12240" w:h="15840"/>
          <w:pgMar w:top="835" w:right="720" w:bottom="1238" w:left="720" w:header="560" w:footer="720" w:gutter="0"/>
          <w:cols w:space="708"/>
          <w:titlePg/>
          <w:docGrid w:linePitch="360"/>
        </w:sectPr>
      </w:pPr>
    </w:p>
    <w:p w14:paraId="2049EEB0" w14:textId="77777777" w:rsidR="0008228C" w:rsidRDefault="00193375">
      <w:pPr>
        <w:spacing w:after="2" w:line="300" w:lineRule="auto"/>
        <w:outlineLvl w:val="0"/>
        <w:rPr>
          <w:b/>
        </w:rPr>
      </w:pPr>
      <w:bookmarkStart w:id="1" w:name="Section2"/>
      <w:bookmarkEnd w:id="1"/>
      <w:r>
        <w:rPr>
          <w:rFonts w:ascii="Cambria" w:eastAsia="Cambria" w:hAnsi="Cambria" w:cs="Cambria"/>
          <w:b/>
          <w:color w:val="005CAB"/>
        </w:rPr>
        <w:lastRenderedPageBreak/>
        <w:t>Southern California</w:t>
      </w:r>
      <w:r>
        <w:rPr>
          <w:rFonts w:ascii="Cambria" w:eastAsia="Cambria" w:hAnsi="Cambria" w:cs="Cambria"/>
          <w:b/>
          <w:color w:val="F47B20"/>
        </w:rPr>
        <w:t xml:space="preserve"> Bancorp and Subsidiary</w:t>
      </w:r>
    </w:p>
    <w:p w14:paraId="4F569AF2" w14:textId="77777777" w:rsidR="0008228C" w:rsidRDefault="00193375">
      <w:pPr>
        <w:spacing w:line="288" w:lineRule="auto"/>
        <w:rPr>
          <w:rFonts w:ascii="Palatino" w:eastAsia="Palatino" w:hAnsi="Palatino" w:cs="Palatino"/>
          <w:b/>
          <w:color w:val="F47B20"/>
          <w:sz w:val="20"/>
          <w:shd w:val="clear" w:color="auto" w:fill="FFFF00"/>
        </w:rPr>
      </w:pPr>
      <w:r>
        <w:rPr>
          <w:rFonts w:ascii="Palatino" w:eastAsia="Palatino" w:hAnsi="Palatino" w:cs="Palatino"/>
          <w:sz w:val="20"/>
        </w:rPr>
        <w:t>Financial Highlights</w:t>
      </w:r>
    </w:p>
    <w:tbl>
      <w:tblPr>
        <w:tblW w:w="7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1283"/>
        <w:gridCol w:w="126"/>
        <w:gridCol w:w="1283"/>
        <w:gridCol w:w="126"/>
        <w:gridCol w:w="1283"/>
      </w:tblGrid>
      <w:tr w:rsidR="0008228C" w14:paraId="3C580A1E" w14:textId="77777777">
        <w:trPr>
          <w:cantSplit/>
          <w:trHeight w:hRule="exact" w:val="240"/>
        </w:trPr>
        <w:tc>
          <w:tcPr>
            <w:tcW w:w="3600" w:type="dxa"/>
            <w:tcBorders>
              <w:top w:val="nil"/>
              <w:left w:val="nil"/>
              <w:bottom w:val="nil"/>
              <w:right w:val="nil"/>
            </w:tcBorders>
            <w:tcMar>
              <w:top w:w="0" w:type="dxa"/>
              <w:left w:w="53" w:type="dxa"/>
              <w:bottom w:w="0" w:type="dxa"/>
              <w:right w:w="53" w:type="dxa"/>
            </w:tcMar>
            <w:vAlign w:val="center"/>
          </w:tcPr>
          <w:p w14:paraId="48831AEB" w14:textId="77777777" w:rsidR="0008228C" w:rsidRDefault="00193375">
            <w:pPr>
              <w:keepNext/>
              <w:spacing w:line="300" w:lineRule="auto"/>
            </w:pPr>
            <w:r>
              <w:rPr>
                <w:color w:val="000000"/>
                <w:sz w:val="16"/>
              </w:rPr>
              <w:t>(Unaudited)</w:t>
            </w:r>
          </w:p>
        </w:tc>
        <w:tc>
          <w:tcPr>
            <w:tcW w:w="4035" w:type="dxa"/>
            <w:gridSpan w:val="5"/>
            <w:tcBorders>
              <w:top w:val="single" w:sz="8" w:space="0" w:color="000000"/>
              <w:left w:val="single" w:sz="8" w:space="0" w:color="000000"/>
              <w:bottom w:val="single" w:sz="8" w:space="0" w:color="000000"/>
              <w:right w:val="single" w:sz="8" w:space="0" w:color="000000"/>
            </w:tcBorders>
            <w:tcMar>
              <w:top w:w="0" w:type="dxa"/>
              <w:left w:w="53" w:type="dxa"/>
              <w:bottom w:w="0" w:type="dxa"/>
              <w:right w:w="53" w:type="dxa"/>
            </w:tcMar>
            <w:vAlign w:val="bottom"/>
          </w:tcPr>
          <w:p w14:paraId="68AC7D83" w14:textId="77777777" w:rsidR="0008228C" w:rsidRDefault="00193375">
            <w:pPr>
              <w:keepNext/>
              <w:spacing w:before="33" w:after="30" w:line="300" w:lineRule="auto"/>
              <w:jc w:val="center"/>
            </w:pPr>
            <w:r>
              <w:rPr>
                <w:b/>
                <w:color w:val="000000"/>
                <w:sz w:val="16"/>
              </w:rPr>
              <w:t>At or for the Three Months Ended</w:t>
            </w:r>
          </w:p>
        </w:tc>
      </w:tr>
      <w:tr w:rsidR="0008228C" w14:paraId="3D70A0C0" w14:textId="77777777">
        <w:trPr>
          <w:cantSplit/>
          <w:trHeight w:hRule="exact" w:val="240"/>
        </w:trPr>
        <w:tc>
          <w:tcPr>
            <w:tcW w:w="3600" w:type="dxa"/>
            <w:tcBorders>
              <w:top w:val="nil"/>
              <w:left w:val="nil"/>
              <w:bottom w:val="nil"/>
              <w:right w:val="nil"/>
            </w:tcBorders>
            <w:tcMar>
              <w:top w:w="0" w:type="dxa"/>
              <w:left w:w="53" w:type="dxa"/>
              <w:bottom w:w="0" w:type="dxa"/>
              <w:right w:w="53" w:type="dxa"/>
            </w:tcMar>
            <w:vAlign w:val="bottom"/>
          </w:tcPr>
          <w:p w14:paraId="18890096" w14:textId="77777777" w:rsidR="0008228C" w:rsidRDefault="00193375">
            <w:pPr>
              <w:keepNext/>
              <w:spacing w:before="33" w:after="30" w:line="300" w:lineRule="auto"/>
            </w:pPr>
            <w:r>
              <w:rPr>
                <w:color w:val="000000"/>
                <w:sz w:val="16"/>
              </w:rPr>
              <w:t>($ in thousands except share and per share data)</w:t>
            </w: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5AE82C3E" w14:textId="77777777" w:rsidR="0008228C" w:rsidRDefault="00193375">
            <w:pPr>
              <w:keepNext/>
              <w:spacing w:before="33" w:after="30" w:line="300" w:lineRule="auto"/>
              <w:jc w:val="center"/>
            </w:pPr>
            <w:r>
              <w:rPr>
                <w:b/>
                <w:color w:val="000000"/>
                <w:sz w:val="16"/>
              </w:rPr>
              <w:t>March 31, 2022</w:t>
            </w:r>
          </w:p>
        </w:tc>
        <w:tc>
          <w:tcPr>
            <w:tcW w:w="6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7F637BE" w14:textId="77777777" w:rsidR="0008228C" w:rsidRDefault="00193375">
            <w:pPr>
              <w:keepNext/>
              <w:spacing w:before="33" w:after="30" w:line="300" w:lineRule="auto"/>
              <w:jc w:val="center"/>
            </w:pPr>
            <w:r>
              <w:rPr>
                <w:b/>
                <w:color w:val="000000"/>
                <w:sz w:val="16"/>
              </w:rPr>
              <w:t>`</w:t>
            </w: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BC5391B" w14:textId="22EA7D1E" w:rsidR="0008228C" w:rsidRDefault="00193375">
            <w:pPr>
              <w:keepNext/>
              <w:spacing w:before="33" w:after="30" w:line="300" w:lineRule="auto"/>
              <w:jc w:val="center"/>
            </w:pPr>
            <w:r>
              <w:rPr>
                <w:b/>
                <w:color w:val="000000"/>
                <w:sz w:val="16"/>
              </w:rPr>
              <w:t>Dec 31, 2021</w:t>
            </w:r>
          </w:p>
        </w:tc>
        <w:tc>
          <w:tcPr>
            <w:tcW w:w="60" w:type="dxa"/>
            <w:tcBorders>
              <w:top w:val="single" w:sz="8" w:space="0" w:color="000000"/>
              <w:left w:val="nil"/>
              <w:bottom w:val="single" w:sz="8" w:space="0" w:color="000000"/>
              <w:right w:val="nil"/>
            </w:tcBorders>
            <w:tcMar>
              <w:top w:w="0" w:type="dxa"/>
              <w:left w:w="0" w:type="dxa"/>
              <w:bottom w:w="0" w:type="dxa"/>
              <w:right w:w="0" w:type="dxa"/>
            </w:tcMar>
            <w:vAlign w:val="bottom"/>
          </w:tcPr>
          <w:p w14:paraId="382CACC8" w14:textId="77777777" w:rsidR="0008228C" w:rsidRDefault="0008228C">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4ED44AF" w14:textId="77777777" w:rsidR="0008228C" w:rsidRDefault="00193375">
            <w:pPr>
              <w:keepNext/>
              <w:spacing w:before="33" w:after="30" w:line="300" w:lineRule="auto"/>
              <w:jc w:val="center"/>
            </w:pPr>
            <w:r>
              <w:rPr>
                <w:b/>
                <w:color w:val="000000"/>
                <w:sz w:val="16"/>
              </w:rPr>
              <w:t>March 31, 2021</w:t>
            </w:r>
          </w:p>
        </w:tc>
      </w:tr>
      <w:tr w:rsidR="0008228C" w14:paraId="1521B2C8" w14:textId="77777777">
        <w:trPr>
          <w:cantSplit/>
          <w:trHeight w:hRule="exact" w:val="240"/>
        </w:trPr>
        <w:tc>
          <w:tcPr>
            <w:tcW w:w="3600" w:type="dxa"/>
            <w:tcBorders>
              <w:top w:val="nil"/>
              <w:left w:val="nil"/>
              <w:bottom w:val="nil"/>
              <w:right w:val="nil"/>
            </w:tcBorders>
            <w:tcMar>
              <w:top w:w="0" w:type="dxa"/>
              <w:left w:w="53" w:type="dxa"/>
              <w:bottom w:w="0" w:type="dxa"/>
              <w:right w:w="53" w:type="dxa"/>
            </w:tcMar>
            <w:vAlign w:val="center"/>
          </w:tcPr>
          <w:p w14:paraId="24D3C1EA" w14:textId="77777777" w:rsidR="0008228C" w:rsidRDefault="00193375">
            <w:pPr>
              <w:keepNext/>
              <w:spacing w:line="300" w:lineRule="auto"/>
            </w:pPr>
            <w:r>
              <w:rPr>
                <w:b/>
                <w:color w:val="000000"/>
                <w:sz w:val="16"/>
              </w:rPr>
              <w:t>EARNINGS</w:t>
            </w:r>
          </w:p>
        </w:tc>
        <w:tc>
          <w:tcPr>
            <w:tcW w:w="1305" w:type="dxa"/>
            <w:tcBorders>
              <w:top w:val="single" w:sz="8" w:space="0" w:color="000000"/>
              <w:left w:val="nil"/>
              <w:bottom w:val="nil"/>
              <w:right w:val="nil"/>
            </w:tcBorders>
            <w:tcMar>
              <w:top w:w="0" w:type="dxa"/>
              <w:left w:w="0" w:type="dxa"/>
              <w:bottom w:w="0" w:type="dxa"/>
              <w:right w:w="0" w:type="dxa"/>
            </w:tcMar>
            <w:vAlign w:val="bottom"/>
          </w:tcPr>
          <w:p w14:paraId="6AC2F184" w14:textId="77777777" w:rsidR="0008228C" w:rsidRDefault="0008228C">
            <w:pPr>
              <w:keepNext/>
            </w:pPr>
          </w:p>
        </w:tc>
        <w:tc>
          <w:tcPr>
            <w:tcW w:w="60" w:type="dxa"/>
            <w:tcBorders>
              <w:top w:val="single" w:sz="8" w:space="0" w:color="000000"/>
              <w:left w:val="nil"/>
              <w:bottom w:val="nil"/>
              <w:right w:val="nil"/>
            </w:tcBorders>
            <w:tcMar>
              <w:top w:w="0" w:type="dxa"/>
              <w:left w:w="0" w:type="dxa"/>
              <w:bottom w:w="0" w:type="dxa"/>
              <w:right w:w="0" w:type="dxa"/>
            </w:tcMar>
            <w:vAlign w:val="bottom"/>
          </w:tcPr>
          <w:p w14:paraId="53B8480B" w14:textId="77777777" w:rsidR="0008228C" w:rsidRDefault="0008228C">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5FB0A7D5" w14:textId="77777777" w:rsidR="0008228C" w:rsidRDefault="0008228C">
            <w:pPr>
              <w:keepNext/>
            </w:pPr>
          </w:p>
        </w:tc>
        <w:tc>
          <w:tcPr>
            <w:tcW w:w="60" w:type="dxa"/>
            <w:tcBorders>
              <w:top w:val="single" w:sz="8" w:space="0" w:color="000000"/>
              <w:left w:val="nil"/>
              <w:bottom w:val="nil"/>
              <w:right w:val="nil"/>
            </w:tcBorders>
            <w:tcMar>
              <w:top w:w="0" w:type="dxa"/>
              <w:left w:w="0" w:type="dxa"/>
              <w:bottom w:w="0" w:type="dxa"/>
              <w:right w:w="0" w:type="dxa"/>
            </w:tcMar>
            <w:vAlign w:val="bottom"/>
          </w:tcPr>
          <w:p w14:paraId="17238E6B" w14:textId="77777777" w:rsidR="0008228C" w:rsidRDefault="0008228C">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4A1B51E6" w14:textId="77777777" w:rsidR="0008228C" w:rsidRDefault="0008228C">
            <w:pPr>
              <w:keepNext/>
            </w:pPr>
          </w:p>
        </w:tc>
      </w:tr>
      <w:tr w:rsidR="0008228C" w14:paraId="6C7843C2"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48D46E69" w14:textId="77777777" w:rsidR="0008228C" w:rsidRDefault="00193375">
            <w:pPr>
              <w:keepNext/>
              <w:spacing w:line="300" w:lineRule="auto"/>
              <w:ind w:left="180"/>
            </w:pPr>
            <w:r>
              <w:rPr>
                <w:color w:val="000000"/>
                <w:sz w:val="16"/>
              </w:rPr>
              <w:t>Net interest income</w:t>
            </w:r>
          </w:p>
        </w:tc>
        <w:tc>
          <w:tcPr>
            <w:tcW w:w="1305" w:type="dxa"/>
            <w:tcBorders>
              <w:top w:val="nil"/>
              <w:left w:val="nil"/>
              <w:bottom w:val="nil"/>
              <w:right w:val="nil"/>
            </w:tcBorders>
            <w:tcMar>
              <w:top w:w="0" w:type="dxa"/>
              <w:left w:w="0" w:type="dxa"/>
              <w:bottom w:w="0" w:type="dxa"/>
              <w:right w:w="15" w:type="dxa"/>
            </w:tcMar>
            <w:vAlign w:val="center"/>
          </w:tcPr>
          <w:p w14:paraId="189C7E20" w14:textId="77777777" w:rsidR="0008228C" w:rsidRDefault="00193375">
            <w:pPr>
              <w:keepNext/>
              <w:tabs>
                <w:tab w:val="left" w:pos="596"/>
                <w:tab w:val="left" w:pos="1237"/>
              </w:tabs>
              <w:spacing w:line="300" w:lineRule="auto"/>
              <w:jc w:val="right"/>
            </w:pPr>
            <w:r>
              <w:rPr>
                <w:color w:val="000000"/>
                <w:sz w:val="16"/>
              </w:rPr>
              <w:t>$</w:t>
            </w:r>
            <w:r>
              <w:rPr>
                <w:color w:val="000000"/>
                <w:sz w:val="16"/>
              </w:rPr>
              <w:tab/>
              <w:t>17,795</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469F4C25"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6838FBF5" w14:textId="77777777" w:rsidR="0008228C" w:rsidRDefault="00193375">
            <w:pPr>
              <w:keepNext/>
              <w:tabs>
                <w:tab w:val="left" w:pos="56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20,333</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6D26E202"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07B9582C" w14:textId="77777777" w:rsidR="0008228C" w:rsidRDefault="00193375">
            <w:pPr>
              <w:keepNext/>
              <w:tabs>
                <w:tab w:val="left" w:pos="56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12,639</w:t>
            </w:r>
            <w:r>
              <w:rPr>
                <w:rFonts w:ascii="Cambria" w:eastAsia="Cambria" w:hAnsi="Cambria" w:cs="Cambria"/>
                <w:color w:val="000000"/>
                <w:sz w:val="16"/>
              </w:rPr>
              <w:tab/>
            </w:r>
          </w:p>
        </w:tc>
      </w:tr>
      <w:tr w:rsidR="0008228C" w14:paraId="3AAA5997"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5CCC5705" w14:textId="77777777" w:rsidR="0008228C" w:rsidRDefault="00193375">
            <w:pPr>
              <w:keepNext/>
              <w:spacing w:line="300" w:lineRule="auto"/>
              <w:ind w:left="180"/>
            </w:pPr>
            <w:r>
              <w:rPr>
                <w:color w:val="000000"/>
                <w:sz w:val="16"/>
              </w:rPr>
              <w:t>Provision for loan losses</w:t>
            </w:r>
          </w:p>
        </w:tc>
        <w:tc>
          <w:tcPr>
            <w:tcW w:w="1305" w:type="dxa"/>
            <w:tcBorders>
              <w:top w:val="nil"/>
              <w:left w:val="nil"/>
              <w:bottom w:val="nil"/>
              <w:right w:val="nil"/>
            </w:tcBorders>
            <w:tcMar>
              <w:top w:w="0" w:type="dxa"/>
              <w:left w:w="0" w:type="dxa"/>
              <w:bottom w:w="0" w:type="dxa"/>
              <w:right w:w="15" w:type="dxa"/>
            </w:tcMar>
            <w:vAlign w:val="center"/>
          </w:tcPr>
          <w:p w14:paraId="26334A3D" w14:textId="77777777" w:rsidR="0008228C" w:rsidRDefault="00193375">
            <w:pPr>
              <w:keepNext/>
              <w:tabs>
                <w:tab w:val="left" w:pos="676"/>
                <w:tab w:val="left" w:pos="1237"/>
              </w:tabs>
              <w:spacing w:line="300" w:lineRule="auto"/>
              <w:jc w:val="right"/>
            </w:pPr>
            <w:r>
              <w:rPr>
                <w:color w:val="000000"/>
                <w:sz w:val="16"/>
              </w:rPr>
              <w:t>$</w:t>
            </w:r>
            <w:r>
              <w:rPr>
                <w:color w:val="000000"/>
                <w:sz w:val="16"/>
              </w:rPr>
              <w:tab/>
              <w:t>1,850</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18B3BD76"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42780D4B"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1,200</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12A2BD48"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08442E21" w14:textId="77777777" w:rsidR="0008228C" w:rsidRDefault="00193375">
            <w:pPr>
              <w:keepNext/>
              <w:tabs>
                <w:tab w:val="left" w:pos="876"/>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w:t>
            </w:r>
            <w:r>
              <w:rPr>
                <w:rFonts w:ascii="Cambria" w:eastAsia="Cambria" w:hAnsi="Cambria" w:cs="Cambria"/>
                <w:color w:val="000000"/>
                <w:sz w:val="16"/>
              </w:rPr>
              <w:tab/>
            </w:r>
          </w:p>
        </w:tc>
      </w:tr>
      <w:tr w:rsidR="0008228C" w14:paraId="3567D44B"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343BD923" w14:textId="77777777" w:rsidR="0008228C" w:rsidRDefault="00193375">
            <w:pPr>
              <w:keepNext/>
              <w:spacing w:line="300" w:lineRule="auto"/>
              <w:ind w:left="180"/>
            </w:pPr>
            <w:r>
              <w:rPr>
                <w:color w:val="000000"/>
                <w:sz w:val="16"/>
              </w:rPr>
              <w:t>Noninterest income</w:t>
            </w:r>
          </w:p>
        </w:tc>
        <w:tc>
          <w:tcPr>
            <w:tcW w:w="1305" w:type="dxa"/>
            <w:tcBorders>
              <w:top w:val="nil"/>
              <w:left w:val="nil"/>
              <w:bottom w:val="nil"/>
              <w:right w:val="nil"/>
            </w:tcBorders>
            <w:tcMar>
              <w:top w:w="0" w:type="dxa"/>
              <w:left w:w="0" w:type="dxa"/>
              <w:bottom w:w="0" w:type="dxa"/>
              <w:right w:w="15" w:type="dxa"/>
            </w:tcMar>
            <w:vAlign w:val="center"/>
          </w:tcPr>
          <w:p w14:paraId="7705E10A" w14:textId="77777777" w:rsidR="0008228C" w:rsidRDefault="00193375">
            <w:pPr>
              <w:keepNext/>
              <w:tabs>
                <w:tab w:val="left" w:pos="676"/>
                <w:tab w:val="left" w:pos="1237"/>
              </w:tabs>
              <w:spacing w:line="300" w:lineRule="auto"/>
              <w:jc w:val="right"/>
            </w:pPr>
            <w:r>
              <w:rPr>
                <w:color w:val="000000"/>
                <w:sz w:val="16"/>
              </w:rPr>
              <w:t>$</w:t>
            </w:r>
            <w:r>
              <w:rPr>
                <w:color w:val="000000"/>
                <w:sz w:val="16"/>
              </w:rPr>
              <w:tab/>
              <w:t>1,603</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379727DB"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3CE0D3B3" w14:textId="77777777" w:rsidR="0008228C" w:rsidRDefault="00193375">
            <w:pPr>
              <w:keepNext/>
              <w:tabs>
                <w:tab w:val="left" w:pos="770"/>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526</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18265D63"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12D94CE6" w14:textId="77777777" w:rsidR="0008228C" w:rsidRDefault="00193375">
            <w:pPr>
              <w:keepNext/>
              <w:tabs>
                <w:tab w:val="left" w:pos="770"/>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548</w:t>
            </w:r>
            <w:r>
              <w:rPr>
                <w:rFonts w:ascii="Cambria" w:eastAsia="Cambria" w:hAnsi="Cambria" w:cs="Cambria"/>
                <w:color w:val="000000"/>
                <w:sz w:val="16"/>
              </w:rPr>
              <w:tab/>
            </w:r>
          </w:p>
        </w:tc>
      </w:tr>
      <w:tr w:rsidR="0008228C" w14:paraId="00F73732"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6B4818AF" w14:textId="77777777" w:rsidR="0008228C" w:rsidRDefault="00193375">
            <w:pPr>
              <w:keepNext/>
              <w:spacing w:line="300" w:lineRule="auto"/>
              <w:ind w:left="180"/>
            </w:pPr>
            <w:r>
              <w:rPr>
                <w:color w:val="000000"/>
                <w:sz w:val="16"/>
              </w:rPr>
              <w:t>Noninterest expense</w:t>
            </w:r>
          </w:p>
        </w:tc>
        <w:tc>
          <w:tcPr>
            <w:tcW w:w="1305" w:type="dxa"/>
            <w:tcBorders>
              <w:top w:val="nil"/>
              <w:left w:val="nil"/>
              <w:bottom w:val="nil"/>
              <w:right w:val="nil"/>
            </w:tcBorders>
            <w:tcMar>
              <w:top w:w="0" w:type="dxa"/>
              <w:left w:w="0" w:type="dxa"/>
              <w:bottom w:w="0" w:type="dxa"/>
              <w:right w:w="15" w:type="dxa"/>
            </w:tcMar>
            <w:vAlign w:val="center"/>
          </w:tcPr>
          <w:p w14:paraId="47E7F0CD" w14:textId="77777777" w:rsidR="0008228C" w:rsidRDefault="00193375">
            <w:pPr>
              <w:keepNext/>
              <w:tabs>
                <w:tab w:val="left" w:pos="596"/>
                <w:tab w:val="left" w:pos="1237"/>
              </w:tabs>
              <w:spacing w:line="300" w:lineRule="auto"/>
              <w:jc w:val="right"/>
            </w:pPr>
            <w:r>
              <w:rPr>
                <w:color w:val="000000"/>
                <w:sz w:val="16"/>
              </w:rPr>
              <w:t>$</w:t>
            </w:r>
            <w:r>
              <w:rPr>
                <w:color w:val="000000"/>
                <w:sz w:val="16"/>
              </w:rPr>
              <w:tab/>
              <w:t>15,552</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280DD2CC"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355CAC49" w14:textId="77777777" w:rsidR="0008228C" w:rsidRDefault="00193375">
            <w:pPr>
              <w:keepNext/>
              <w:tabs>
                <w:tab w:val="left" w:pos="56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14,866</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3F4A2DA2"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1BC573C6" w14:textId="77777777" w:rsidR="0008228C" w:rsidRDefault="00193375">
            <w:pPr>
              <w:keepNext/>
              <w:tabs>
                <w:tab w:val="left" w:pos="56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11,178</w:t>
            </w:r>
            <w:r>
              <w:rPr>
                <w:rFonts w:ascii="Cambria" w:eastAsia="Cambria" w:hAnsi="Cambria" w:cs="Cambria"/>
                <w:color w:val="000000"/>
                <w:sz w:val="16"/>
              </w:rPr>
              <w:tab/>
            </w:r>
          </w:p>
        </w:tc>
      </w:tr>
      <w:tr w:rsidR="0008228C" w14:paraId="7492B5C0"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270D187C" w14:textId="77777777" w:rsidR="0008228C" w:rsidRDefault="00193375">
            <w:pPr>
              <w:keepNext/>
              <w:spacing w:line="300" w:lineRule="auto"/>
              <w:ind w:left="180"/>
            </w:pPr>
            <w:r>
              <w:rPr>
                <w:color w:val="000000"/>
                <w:sz w:val="16"/>
              </w:rPr>
              <w:t>Income tax expense</w:t>
            </w:r>
          </w:p>
        </w:tc>
        <w:tc>
          <w:tcPr>
            <w:tcW w:w="1305" w:type="dxa"/>
            <w:tcBorders>
              <w:top w:val="nil"/>
              <w:left w:val="nil"/>
              <w:bottom w:val="nil"/>
              <w:right w:val="nil"/>
            </w:tcBorders>
            <w:tcMar>
              <w:top w:w="0" w:type="dxa"/>
              <w:left w:w="0" w:type="dxa"/>
              <w:bottom w:w="0" w:type="dxa"/>
              <w:right w:w="15" w:type="dxa"/>
            </w:tcMar>
            <w:vAlign w:val="center"/>
          </w:tcPr>
          <w:p w14:paraId="3C71240A" w14:textId="77777777" w:rsidR="0008228C" w:rsidRDefault="00193375">
            <w:pPr>
              <w:keepNext/>
              <w:tabs>
                <w:tab w:val="left" w:pos="796"/>
                <w:tab w:val="left" w:pos="1237"/>
              </w:tabs>
              <w:spacing w:line="300" w:lineRule="auto"/>
              <w:jc w:val="right"/>
            </w:pPr>
            <w:r>
              <w:rPr>
                <w:color w:val="000000"/>
                <w:sz w:val="16"/>
              </w:rPr>
              <w:t>$</w:t>
            </w:r>
            <w:r>
              <w:rPr>
                <w:color w:val="000000"/>
                <w:sz w:val="16"/>
              </w:rPr>
              <w:tab/>
              <w:t>550</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B80748D"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6A04305E"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1,418</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3DC07C9C"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1C794D2F" w14:textId="77777777" w:rsidR="0008228C" w:rsidRDefault="00193375">
            <w:pPr>
              <w:keepNext/>
              <w:tabs>
                <w:tab w:val="left" w:pos="770"/>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578</w:t>
            </w:r>
            <w:r>
              <w:rPr>
                <w:rFonts w:ascii="Cambria" w:eastAsia="Cambria" w:hAnsi="Cambria" w:cs="Cambria"/>
                <w:color w:val="000000"/>
                <w:sz w:val="16"/>
              </w:rPr>
              <w:tab/>
            </w:r>
          </w:p>
        </w:tc>
      </w:tr>
      <w:tr w:rsidR="0008228C" w14:paraId="13721A19"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3B537100" w14:textId="77777777" w:rsidR="0008228C" w:rsidRDefault="00193375">
            <w:pPr>
              <w:keepNext/>
              <w:spacing w:line="300" w:lineRule="auto"/>
              <w:ind w:left="180"/>
            </w:pPr>
            <w:r>
              <w:rPr>
                <w:color w:val="000000"/>
                <w:sz w:val="16"/>
              </w:rPr>
              <w:t>Net income</w:t>
            </w:r>
          </w:p>
        </w:tc>
        <w:tc>
          <w:tcPr>
            <w:tcW w:w="1305" w:type="dxa"/>
            <w:tcBorders>
              <w:top w:val="nil"/>
              <w:left w:val="nil"/>
              <w:bottom w:val="nil"/>
              <w:right w:val="nil"/>
            </w:tcBorders>
            <w:tcMar>
              <w:top w:w="0" w:type="dxa"/>
              <w:left w:w="0" w:type="dxa"/>
              <w:bottom w:w="0" w:type="dxa"/>
              <w:right w:w="15" w:type="dxa"/>
            </w:tcMar>
            <w:vAlign w:val="center"/>
          </w:tcPr>
          <w:p w14:paraId="0B22D65C" w14:textId="77777777" w:rsidR="0008228C" w:rsidRDefault="00193375">
            <w:pPr>
              <w:keepNext/>
              <w:tabs>
                <w:tab w:val="left" w:pos="676"/>
                <w:tab w:val="left" w:pos="1237"/>
              </w:tabs>
              <w:spacing w:line="300" w:lineRule="auto"/>
              <w:jc w:val="right"/>
            </w:pPr>
            <w:r>
              <w:rPr>
                <w:color w:val="000000"/>
                <w:sz w:val="16"/>
              </w:rPr>
              <w:t>$</w:t>
            </w:r>
            <w:r>
              <w:rPr>
                <w:color w:val="000000"/>
                <w:sz w:val="16"/>
              </w:rPr>
              <w:tab/>
              <w:t>1,446</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286343A"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018E86BE"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3,375</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53D3C931"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7EDA300B"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1,431</w:t>
            </w:r>
            <w:r>
              <w:rPr>
                <w:rFonts w:ascii="Cambria" w:eastAsia="Cambria" w:hAnsi="Cambria" w:cs="Cambria"/>
                <w:color w:val="000000"/>
                <w:sz w:val="16"/>
              </w:rPr>
              <w:tab/>
            </w:r>
          </w:p>
        </w:tc>
      </w:tr>
      <w:tr w:rsidR="0008228C" w14:paraId="25EC7CB1"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1B5FED8D" w14:textId="77777777" w:rsidR="0008228C" w:rsidRDefault="00193375">
            <w:pPr>
              <w:keepNext/>
              <w:spacing w:line="300" w:lineRule="auto"/>
              <w:ind w:left="180"/>
              <w:rPr>
                <w:sz w:val="16"/>
              </w:rPr>
            </w:pPr>
            <w:r>
              <w:rPr>
                <w:sz w:val="16"/>
              </w:rPr>
              <w:t xml:space="preserve">Pre-tax pre-provision income </w:t>
            </w:r>
            <w:r>
              <w:rPr>
                <w:sz w:val="16"/>
                <w:vertAlign w:val="superscript"/>
              </w:rPr>
              <w:t>(1)</w:t>
            </w:r>
          </w:p>
        </w:tc>
        <w:tc>
          <w:tcPr>
            <w:tcW w:w="1305" w:type="dxa"/>
            <w:tcBorders>
              <w:top w:val="nil"/>
              <w:left w:val="nil"/>
              <w:bottom w:val="nil"/>
              <w:right w:val="nil"/>
            </w:tcBorders>
            <w:tcMar>
              <w:top w:w="0" w:type="dxa"/>
              <w:left w:w="0" w:type="dxa"/>
              <w:bottom w:w="0" w:type="dxa"/>
              <w:right w:w="15" w:type="dxa"/>
            </w:tcMar>
            <w:vAlign w:val="center"/>
          </w:tcPr>
          <w:p w14:paraId="4A29041A" w14:textId="77777777" w:rsidR="0008228C" w:rsidRDefault="00193375">
            <w:pPr>
              <w:keepNext/>
              <w:tabs>
                <w:tab w:val="left" w:pos="676"/>
                <w:tab w:val="left" w:pos="1237"/>
              </w:tabs>
              <w:spacing w:line="300" w:lineRule="auto"/>
              <w:jc w:val="right"/>
            </w:pPr>
            <w:r>
              <w:rPr>
                <w:color w:val="000000"/>
                <w:sz w:val="16"/>
              </w:rPr>
              <w:t>$</w:t>
            </w:r>
            <w:r>
              <w:rPr>
                <w:color w:val="000000"/>
                <w:sz w:val="16"/>
              </w:rPr>
              <w:tab/>
              <w:t>3,846</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228F3708"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6B3F02B9"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5,993</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6B5864B9"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391CEE3D"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2,009</w:t>
            </w:r>
            <w:r>
              <w:rPr>
                <w:rFonts w:ascii="Cambria" w:eastAsia="Cambria" w:hAnsi="Cambria" w:cs="Cambria"/>
                <w:color w:val="000000"/>
                <w:sz w:val="16"/>
              </w:rPr>
              <w:tab/>
            </w:r>
          </w:p>
        </w:tc>
      </w:tr>
      <w:tr w:rsidR="0008228C" w14:paraId="77DCE3DA" w14:textId="77777777">
        <w:trPr>
          <w:cantSplit/>
          <w:trHeight w:hRule="exact" w:val="315"/>
        </w:trPr>
        <w:tc>
          <w:tcPr>
            <w:tcW w:w="3600" w:type="dxa"/>
            <w:tcBorders>
              <w:top w:val="nil"/>
              <w:left w:val="nil"/>
              <w:bottom w:val="nil"/>
              <w:right w:val="nil"/>
            </w:tcBorders>
            <w:tcMar>
              <w:top w:w="0" w:type="dxa"/>
              <w:left w:w="0" w:type="dxa"/>
              <w:bottom w:w="0" w:type="dxa"/>
              <w:right w:w="0" w:type="dxa"/>
            </w:tcMar>
            <w:vAlign w:val="bottom"/>
          </w:tcPr>
          <w:p w14:paraId="7C7866AB" w14:textId="77777777" w:rsidR="0008228C" w:rsidRDefault="0008228C">
            <w:pPr>
              <w:keepNext/>
            </w:pPr>
          </w:p>
        </w:tc>
        <w:tc>
          <w:tcPr>
            <w:tcW w:w="1305" w:type="dxa"/>
            <w:tcBorders>
              <w:top w:val="nil"/>
              <w:left w:val="nil"/>
              <w:bottom w:val="nil"/>
              <w:right w:val="nil"/>
            </w:tcBorders>
            <w:tcMar>
              <w:top w:w="0" w:type="dxa"/>
              <w:left w:w="0" w:type="dxa"/>
              <w:bottom w:w="0" w:type="dxa"/>
              <w:right w:w="53" w:type="dxa"/>
            </w:tcMar>
            <w:vAlign w:val="center"/>
          </w:tcPr>
          <w:p w14:paraId="32079C31"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68FFD732" w14:textId="77777777" w:rsidR="0008228C" w:rsidRDefault="0008228C">
            <w:pPr>
              <w:keepNext/>
            </w:pPr>
          </w:p>
        </w:tc>
        <w:tc>
          <w:tcPr>
            <w:tcW w:w="1305" w:type="dxa"/>
            <w:tcBorders>
              <w:top w:val="nil"/>
              <w:left w:val="nil"/>
              <w:bottom w:val="nil"/>
              <w:right w:val="nil"/>
            </w:tcBorders>
            <w:tcMar>
              <w:top w:w="0" w:type="dxa"/>
              <w:left w:w="0" w:type="dxa"/>
              <w:bottom w:w="0" w:type="dxa"/>
              <w:right w:w="53" w:type="dxa"/>
            </w:tcMar>
            <w:vAlign w:val="center"/>
          </w:tcPr>
          <w:p w14:paraId="39EF795F"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3310140B"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0ADDBE5E" w14:textId="77777777" w:rsidR="0008228C" w:rsidRDefault="0008228C">
            <w:pPr>
              <w:keepNext/>
              <w:spacing w:line="300" w:lineRule="auto"/>
              <w:jc w:val="right"/>
            </w:pPr>
          </w:p>
        </w:tc>
      </w:tr>
      <w:tr w:rsidR="0008228C" w14:paraId="7448CE23"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701E1BE0" w14:textId="77777777" w:rsidR="0008228C" w:rsidRDefault="00193375">
            <w:pPr>
              <w:keepNext/>
              <w:spacing w:line="300" w:lineRule="auto"/>
              <w:ind w:left="180"/>
            </w:pPr>
            <w:r>
              <w:rPr>
                <w:color w:val="000000"/>
                <w:sz w:val="16"/>
              </w:rPr>
              <w:t>Diluted earnings per share</w:t>
            </w:r>
          </w:p>
        </w:tc>
        <w:tc>
          <w:tcPr>
            <w:tcW w:w="1305" w:type="dxa"/>
            <w:tcBorders>
              <w:top w:val="nil"/>
              <w:left w:val="nil"/>
              <w:bottom w:val="nil"/>
              <w:right w:val="nil"/>
            </w:tcBorders>
            <w:tcMar>
              <w:top w:w="0" w:type="dxa"/>
              <w:left w:w="0" w:type="dxa"/>
              <w:bottom w:w="0" w:type="dxa"/>
              <w:right w:w="15" w:type="dxa"/>
            </w:tcMar>
            <w:vAlign w:val="center"/>
          </w:tcPr>
          <w:p w14:paraId="4E205FFA" w14:textId="77777777" w:rsidR="0008228C" w:rsidRDefault="00193375">
            <w:pPr>
              <w:keepNext/>
              <w:tabs>
                <w:tab w:val="left" w:pos="756"/>
                <w:tab w:val="left" w:pos="1237"/>
              </w:tabs>
              <w:spacing w:line="300" w:lineRule="auto"/>
              <w:jc w:val="right"/>
            </w:pPr>
            <w:r>
              <w:rPr>
                <w:color w:val="000000"/>
                <w:sz w:val="16"/>
              </w:rPr>
              <w:t>$</w:t>
            </w:r>
            <w:r>
              <w:rPr>
                <w:color w:val="000000"/>
                <w:sz w:val="16"/>
              </w:rPr>
              <w:tab/>
              <w:t>0.08</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4B0EE08C"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14C935D3" w14:textId="77777777" w:rsidR="0008228C" w:rsidRDefault="00193375">
            <w:pPr>
              <w:keepNext/>
              <w:tabs>
                <w:tab w:val="left" w:pos="738"/>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0.19</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0622A6C3"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7A6448C6" w14:textId="77777777" w:rsidR="0008228C" w:rsidRDefault="00193375">
            <w:pPr>
              <w:keepNext/>
              <w:tabs>
                <w:tab w:val="left" w:pos="738"/>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0.10</w:t>
            </w:r>
            <w:r>
              <w:rPr>
                <w:rFonts w:ascii="Cambria" w:eastAsia="Cambria" w:hAnsi="Cambria" w:cs="Cambria"/>
                <w:color w:val="000000"/>
                <w:sz w:val="16"/>
              </w:rPr>
              <w:tab/>
            </w:r>
          </w:p>
        </w:tc>
      </w:tr>
      <w:tr w:rsidR="0008228C" w14:paraId="2EF52269"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2818F872" w14:textId="77777777" w:rsidR="0008228C" w:rsidRDefault="00193375">
            <w:pPr>
              <w:keepNext/>
              <w:spacing w:line="300" w:lineRule="auto"/>
              <w:ind w:left="180"/>
            </w:pPr>
            <w:r>
              <w:rPr>
                <w:color w:val="000000"/>
                <w:sz w:val="16"/>
              </w:rPr>
              <w:t>Ending shares outstanding</w:t>
            </w:r>
          </w:p>
        </w:tc>
        <w:tc>
          <w:tcPr>
            <w:tcW w:w="1305" w:type="dxa"/>
            <w:tcBorders>
              <w:top w:val="nil"/>
              <w:left w:val="nil"/>
              <w:bottom w:val="nil"/>
              <w:right w:val="nil"/>
            </w:tcBorders>
            <w:tcMar>
              <w:top w:w="0" w:type="dxa"/>
              <w:left w:w="0" w:type="dxa"/>
              <w:bottom w:w="0" w:type="dxa"/>
              <w:right w:w="53" w:type="dxa"/>
            </w:tcMar>
            <w:vAlign w:val="center"/>
          </w:tcPr>
          <w:p w14:paraId="60FFFE43" w14:textId="77777777" w:rsidR="0008228C" w:rsidRDefault="00193375">
            <w:pPr>
              <w:keepNext/>
              <w:spacing w:line="300" w:lineRule="auto"/>
              <w:jc w:val="right"/>
            </w:pPr>
            <w:r>
              <w:rPr>
                <w:color w:val="000000"/>
                <w:sz w:val="16"/>
              </w:rPr>
              <w:t>17,753,849</w:t>
            </w:r>
          </w:p>
        </w:tc>
        <w:tc>
          <w:tcPr>
            <w:tcW w:w="60" w:type="dxa"/>
            <w:tcBorders>
              <w:top w:val="nil"/>
              <w:left w:val="nil"/>
              <w:bottom w:val="nil"/>
              <w:right w:val="nil"/>
            </w:tcBorders>
            <w:tcMar>
              <w:top w:w="0" w:type="dxa"/>
              <w:left w:w="0" w:type="dxa"/>
              <w:bottom w:w="0" w:type="dxa"/>
              <w:right w:w="0" w:type="dxa"/>
            </w:tcMar>
            <w:vAlign w:val="bottom"/>
          </w:tcPr>
          <w:p w14:paraId="57CA29CE" w14:textId="77777777" w:rsidR="0008228C" w:rsidRDefault="0008228C">
            <w:pPr>
              <w:keepNext/>
            </w:pPr>
          </w:p>
        </w:tc>
        <w:tc>
          <w:tcPr>
            <w:tcW w:w="1305" w:type="dxa"/>
            <w:tcBorders>
              <w:top w:val="nil"/>
              <w:left w:val="nil"/>
              <w:bottom w:val="nil"/>
              <w:right w:val="nil"/>
            </w:tcBorders>
            <w:tcMar>
              <w:top w:w="0" w:type="dxa"/>
              <w:left w:w="0" w:type="dxa"/>
              <w:bottom w:w="0" w:type="dxa"/>
              <w:right w:w="53" w:type="dxa"/>
            </w:tcMar>
            <w:vAlign w:val="center"/>
          </w:tcPr>
          <w:p w14:paraId="01B29909" w14:textId="77777777" w:rsidR="0008228C" w:rsidRDefault="00193375">
            <w:pPr>
              <w:keepNext/>
              <w:spacing w:line="300" w:lineRule="auto"/>
              <w:jc w:val="right"/>
            </w:pPr>
            <w:r>
              <w:rPr>
                <w:rFonts w:ascii="Cambria" w:eastAsia="Cambria" w:hAnsi="Cambria" w:cs="Cambria"/>
                <w:color w:val="000000"/>
                <w:sz w:val="16"/>
              </w:rPr>
              <w:t>17,707,737</w:t>
            </w:r>
          </w:p>
        </w:tc>
        <w:tc>
          <w:tcPr>
            <w:tcW w:w="60" w:type="dxa"/>
            <w:tcBorders>
              <w:top w:val="nil"/>
              <w:left w:val="nil"/>
              <w:bottom w:val="nil"/>
              <w:right w:val="nil"/>
            </w:tcBorders>
            <w:tcMar>
              <w:top w:w="0" w:type="dxa"/>
              <w:left w:w="0" w:type="dxa"/>
              <w:bottom w:w="0" w:type="dxa"/>
              <w:right w:w="53" w:type="dxa"/>
            </w:tcMar>
            <w:vAlign w:val="center"/>
          </w:tcPr>
          <w:p w14:paraId="3BA58F8A"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59806D7C" w14:textId="77777777" w:rsidR="0008228C" w:rsidRDefault="00193375">
            <w:pPr>
              <w:keepNext/>
              <w:spacing w:line="300" w:lineRule="auto"/>
              <w:jc w:val="right"/>
            </w:pPr>
            <w:r>
              <w:rPr>
                <w:rFonts w:ascii="Cambria" w:eastAsia="Cambria" w:hAnsi="Cambria" w:cs="Cambria"/>
                <w:color w:val="000000"/>
                <w:sz w:val="16"/>
              </w:rPr>
              <w:t>13,278,005</w:t>
            </w:r>
          </w:p>
        </w:tc>
      </w:tr>
      <w:tr w:rsidR="0008228C" w14:paraId="69A5FECE" w14:textId="77777777">
        <w:trPr>
          <w:cantSplit/>
          <w:trHeight w:hRule="exact" w:val="315"/>
        </w:trPr>
        <w:tc>
          <w:tcPr>
            <w:tcW w:w="3600" w:type="dxa"/>
            <w:tcBorders>
              <w:top w:val="nil"/>
              <w:left w:val="nil"/>
              <w:bottom w:val="nil"/>
              <w:right w:val="nil"/>
            </w:tcBorders>
            <w:tcMar>
              <w:top w:w="0" w:type="dxa"/>
              <w:left w:w="0" w:type="dxa"/>
              <w:bottom w:w="0" w:type="dxa"/>
              <w:right w:w="0" w:type="dxa"/>
            </w:tcMar>
            <w:vAlign w:val="bottom"/>
          </w:tcPr>
          <w:p w14:paraId="0D35F35C" w14:textId="77777777" w:rsidR="0008228C" w:rsidRDefault="0008228C">
            <w:pPr>
              <w:keepNext/>
            </w:pPr>
          </w:p>
        </w:tc>
        <w:tc>
          <w:tcPr>
            <w:tcW w:w="1305" w:type="dxa"/>
            <w:tcBorders>
              <w:top w:val="nil"/>
              <w:left w:val="nil"/>
              <w:bottom w:val="nil"/>
              <w:right w:val="nil"/>
            </w:tcBorders>
            <w:tcMar>
              <w:top w:w="0" w:type="dxa"/>
              <w:left w:w="53" w:type="dxa"/>
              <w:bottom w:w="0" w:type="dxa"/>
              <w:right w:w="53" w:type="dxa"/>
            </w:tcMar>
            <w:vAlign w:val="center"/>
          </w:tcPr>
          <w:p w14:paraId="69C5C266" w14:textId="77777777" w:rsidR="0008228C" w:rsidRDefault="0008228C">
            <w:pPr>
              <w:keepNext/>
              <w:spacing w:line="300" w:lineRule="auto"/>
            </w:pPr>
          </w:p>
        </w:tc>
        <w:tc>
          <w:tcPr>
            <w:tcW w:w="60" w:type="dxa"/>
            <w:tcBorders>
              <w:top w:val="nil"/>
              <w:left w:val="nil"/>
              <w:bottom w:val="nil"/>
              <w:right w:val="nil"/>
            </w:tcBorders>
            <w:tcMar>
              <w:top w:w="0" w:type="dxa"/>
              <w:left w:w="0" w:type="dxa"/>
              <w:bottom w:w="0" w:type="dxa"/>
              <w:right w:w="0" w:type="dxa"/>
            </w:tcMar>
            <w:vAlign w:val="bottom"/>
          </w:tcPr>
          <w:p w14:paraId="62BFA2D0" w14:textId="77777777" w:rsidR="0008228C" w:rsidRDefault="0008228C">
            <w:pPr>
              <w:keepNext/>
            </w:pPr>
          </w:p>
        </w:tc>
        <w:tc>
          <w:tcPr>
            <w:tcW w:w="1305" w:type="dxa"/>
            <w:tcBorders>
              <w:top w:val="nil"/>
              <w:left w:val="nil"/>
              <w:bottom w:val="nil"/>
              <w:right w:val="nil"/>
            </w:tcBorders>
            <w:tcMar>
              <w:top w:w="0" w:type="dxa"/>
              <w:left w:w="53" w:type="dxa"/>
              <w:bottom w:w="0" w:type="dxa"/>
              <w:right w:w="53" w:type="dxa"/>
            </w:tcMar>
            <w:vAlign w:val="center"/>
          </w:tcPr>
          <w:p w14:paraId="6CD5E4A5" w14:textId="77777777" w:rsidR="0008228C" w:rsidRDefault="0008228C">
            <w:pPr>
              <w:keepNext/>
              <w:spacing w:line="300" w:lineRule="auto"/>
            </w:pPr>
          </w:p>
        </w:tc>
        <w:tc>
          <w:tcPr>
            <w:tcW w:w="60" w:type="dxa"/>
            <w:tcBorders>
              <w:top w:val="nil"/>
              <w:left w:val="nil"/>
              <w:bottom w:val="nil"/>
              <w:right w:val="nil"/>
            </w:tcBorders>
            <w:tcMar>
              <w:top w:w="0" w:type="dxa"/>
              <w:left w:w="53" w:type="dxa"/>
              <w:bottom w:w="0" w:type="dxa"/>
              <w:right w:w="53" w:type="dxa"/>
            </w:tcMar>
            <w:vAlign w:val="center"/>
          </w:tcPr>
          <w:p w14:paraId="64B17B09" w14:textId="77777777" w:rsidR="0008228C" w:rsidRDefault="0008228C">
            <w:pPr>
              <w:keepNext/>
              <w:spacing w:line="300" w:lineRule="auto"/>
            </w:pPr>
          </w:p>
        </w:tc>
        <w:tc>
          <w:tcPr>
            <w:tcW w:w="1305" w:type="dxa"/>
            <w:tcBorders>
              <w:top w:val="nil"/>
              <w:left w:val="nil"/>
              <w:bottom w:val="nil"/>
              <w:right w:val="nil"/>
            </w:tcBorders>
            <w:tcMar>
              <w:top w:w="0" w:type="dxa"/>
              <w:left w:w="53" w:type="dxa"/>
              <w:bottom w:w="0" w:type="dxa"/>
              <w:right w:w="53" w:type="dxa"/>
            </w:tcMar>
            <w:vAlign w:val="center"/>
          </w:tcPr>
          <w:p w14:paraId="07C9F418" w14:textId="77777777" w:rsidR="0008228C" w:rsidRDefault="0008228C">
            <w:pPr>
              <w:keepNext/>
              <w:spacing w:line="300" w:lineRule="auto"/>
            </w:pPr>
          </w:p>
        </w:tc>
      </w:tr>
      <w:tr w:rsidR="0008228C" w14:paraId="04E9661B" w14:textId="77777777">
        <w:trPr>
          <w:cantSplit/>
          <w:trHeight w:hRule="exact" w:val="240"/>
        </w:trPr>
        <w:tc>
          <w:tcPr>
            <w:tcW w:w="3600" w:type="dxa"/>
            <w:tcBorders>
              <w:top w:val="nil"/>
              <w:left w:val="nil"/>
              <w:bottom w:val="nil"/>
              <w:right w:val="nil"/>
            </w:tcBorders>
            <w:tcMar>
              <w:top w:w="0" w:type="dxa"/>
              <w:left w:w="53" w:type="dxa"/>
              <w:bottom w:w="0" w:type="dxa"/>
              <w:right w:w="53" w:type="dxa"/>
            </w:tcMar>
            <w:vAlign w:val="center"/>
          </w:tcPr>
          <w:p w14:paraId="202D069F" w14:textId="77777777" w:rsidR="0008228C" w:rsidRDefault="00193375">
            <w:pPr>
              <w:keepNext/>
              <w:spacing w:line="300" w:lineRule="auto"/>
            </w:pPr>
            <w:r>
              <w:rPr>
                <w:b/>
                <w:color w:val="000000"/>
                <w:sz w:val="16"/>
              </w:rPr>
              <w:t>PERFORMANCE RATIOS</w:t>
            </w:r>
          </w:p>
        </w:tc>
        <w:tc>
          <w:tcPr>
            <w:tcW w:w="1305" w:type="dxa"/>
            <w:tcBorders>
              <w:top w:val="nil"/>
              <w:left w:val="nil"/>
              <w:bottom w:val="nil"/>
              <w:right w:val="nil"/>
            </w:tcBorders>
            <w:tcMar>
              <w:top w:w="0" w:type="dxa"/>
              <w:left w:w="53" w:type="dxa"/>
              <w:bottom w:w="0" w:type="dxa"/>
              <w:right w:w="53" w:type="dxa"/>
            </w:tcMar>
            <w:vAlign w:val="center"/>
          </w:tcPr>
          <w:p w14:paraId="7A63B6CF" w14:textId="77777777" w:rsidR="0008228C" w:rsidRDefault="0008228C">
            <w:pPr>
              <w:keepNext/>
              <w:spacing w:line="300" w:lineRule="auto"/>
            </w:pPr>
          </w:p>
        </w:tc>
        <w:tc>
          <w:tcPr>
            <w:tcW w:w="60" w:type="dxa"/>
            <w:tcBorders>
              <w:top w:val="nil"/>
              <w:left w:val="nil"/>
              <w:bottom w:val="nil"/>
              <w:right w:val="nil"/>
            </w:tcBorders>
            <w:tcMar>
              <w:top w:w="0" w:type="dxa"/>
              <w:left w:w="0" w:type="dxa"/>
              <w:bottom w:w="0" w:type="dxa"/>
              <w:right w:w="0" w:type="dxa"/>
            </w:tcMar>
            <w:vAlign w:val="bottom"/>
          </w:tcPr>
          <w:p w14:paraId="5E69141D" w14:textId="77777777" w:rsidR="0008228C" w:rsidRDefault="0008228C">
            <w:pPr>
              <w:keepNext/>
            </w:pPr>
          </w:p>
        </w:tc>
        <w:tc>
          <w:tcPr>
            <w:tcW w:w="1305" w:type="dxa"/>
            <w:tcBorders>
              <w:top w:val="nil"/>
              <w:left w:val="nil"/>
              <w:bottom w:val="nil"/>
              <w:right w:val="nil"/>
            </w:tcBorders>
            <w:tcMar>
              <w:top w:w="0" w:type="dxa"/>
              <w:left w:w="53" w:type="dxa"/>
              <w:bottom w:w="0" w:type="dxa"/>
              <w:right w:w="53" w:type="dxa"/>
            </w:tcMar>
            <w:vAlign w:val="center"/>
          </w:tcPr>
          <w:p w14:paraId="0035928D" w14:textId="77777777" w:rsidR="0008228C" w:rsidRDefault="0008228C">
            <w:pPr>
              <w:keepNext/>
              <w:spacing w:line="300" w:lineRule="auto"/>
            </w:pPr>
          </w:p>
        </w:tc>
        <w:tc>
          <w:tcPr>
            <w:tcW w:w="60" w:type="dxa"/>
            <w:tcBorders>
              <w:top w:val="nil"/>
              <w:left w:val="nil"/>
              <w:bottom w:val="nil"/>
              <w:right w:val="nil"/>
            </w:tcBorders>
            <w:tcMar>
              <w:top w:w="0" w:type="dxa"/>
              <w:left w:w="53" w:type="dxa"/>
              <w:bottom w:w="0" w:type="dxa"/>
              <w:right w:w="53" w:type="dxa"/>
            </w:tcMar>
            <w:vAlign w:val="center"/>
          </w:tcPr>
          <w:p w14:paraId="2243E1EC" w14:textId="77777777" w:rsidR="0008228C" w:rsidRDefault="0008228C">
            <w:pPr>
              <w:keepNext/>
              <w:spacing w:line="300" w:lineRule="auto"/>
            </w:pPr>
          </w:p>
        </w:tc>
        <w:tc>
          <w:tcPr>
            <w:tcW w:w="1305" w:type="dxa"/>
            <w:tcBorders>
              <w:top w:val="nil"/>
              <w:left w:val="nil"/>
              <w:bottom w:val="nil"/>
              <w:right w:val="nil"/>
            </w:tcBorders>
            <w:tcMar>
              <w:top w:w="0" w:type="dxa"/>
              <w:left w:w="53" w:type="dxa"/>
              <w:bottom w:w="0" w:type="dxa"/>
              <w:right w:w="53" w:type="dxa"/>
            </w:tcMar>
            <w:vAlign w:val="center"/>
          </w:tcPr>
          <w:p w14:paraId="213EE524" w14:textId="77777777" w:rsidR="0008228C" w:rsidRDefault="0008228C">
            <w:pPr>
              <w:keepNext/>
              <w:spacing w:line="300" w:lineRule="auto"/>
            </w:pPr>
          </w:p>
        </w:tc>
      </w:tr>
      <w:tr w:rsidR="0008228C" w14:paraId="7A1A63C1"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08FECCFD" w14:textId="77777777" w:rsidR="0008228C" w:rsidRDefault="00193375">
            <w:pPr>
              <w:keepNext/>
              <w:spacing w:line="300" w:lineRule="auto"/>
              <w:ind w:left="180"/>
            </w:pPr>
            <w:r>
              <w:rPr>
                <w:color w:val="000000"/>
                <w:sz w:val="16"/>
              </w:rPr>
              <w:t>Return on average assets</w:t>
            </w:r>
          </w:p>
        </w:tc>
        <w:tc>
          <w:tcPr>
            <w:tcW w:w="1305" w:type="dxa"/>
            <w:tcBorders>
              <w:top w:val="nil"/>
              <w:left w:val="nil"/>
              <w:bottom w:val="nil"/>
              <w:right w:val="nil"/>
            </w:tcBorders>
            <w:tcMar>
              <w:top w:w="0" w:type="dxa"/>
              <w:left w:w="0" w:type="dxa"/>
              <w:bottom w:w="0" w:type="dxa"/>
              <w:right w:w="15" w:type="dxa"/>
            </w:tcMar>
            <w:vAlign w:val="center"/>
          </w:tcPr>
          <w:p w14:paraId="320ABBB6" w14:textId="77777777" w:rsidR="0008228C" w:rsidRDefault="00193375">
            <w:pPr>
              <w:keepNext/>
              <w:tabs>
                <w:tab w:val="left" w:pos="1"/>
                <w:tab w:val="left" w:pos="353"/>
              </w:tabs>
              <w:spacing w:line="300" w:lineRule="auto"/>
              <w:jc w:val="right"/>
            </w:pPr>
            <w:r>
              <w:rPr>
                <w:color w:val="000000"/>
                <w:sz w:val="16"/>
              </w:rPr>
              <w:tab/>
              <w:t>0.26</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60CFF8A0"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25820537"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0.58</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080EE8D3"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3F0691F6"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0.36</w:t>
            </w:r>
            <w:r>
              <w:rPr>
                <w:rFonts w:ascii="Cambria" w:eastAsia="Cambria" w:hAnsi="Cambria" w:cs="Cambria"/>
                <w:color w:val="000000"/>
                <w:sz w:val="16"/>
              </w:rPr>
              <w:tab/>
              <w:t>%</w:t>
            </w:r>
          </w:p>
        </w:tc>
      </w:tr>
      <w:tr w:rsidR="0008228C" w14:paraId="5828B337"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6171D7B3" w14:textId="77777777" w:rsidR="0008228C" w:rsidRDefault="00193375">
            <w:pPr>
              <w:keepNext/>
              <w:spacing w:line="300" w:lineRule="auto"/>
              <w:ind w:left="180"/>
            </w:pPr>
            <w:r>
              <w:rPr>
                <w:color w:val="000000"/>
                <w:sz w:val="16"/>
              </w:rPr>
              <w:t>Return on average common equity</w:t>
            </w:r>
          </w:p>
        </w:tc>
        <w:tc>
          <w:tcPr>
            <w:tcW w:w="1305" w:type="dxa"/>
            <w:tcBorders>
              <w:top w:val="nil"/>
              <w:left w:val="nil"/>
              <w:bottom w:val="nil"/>
              <w:right w:val="nil"/>
            </w:tcBorders>
            <w:tcMar>
              <w:top w:w="0" w:type="dxa"/>
              <w:left w:w="0" w:type="dxa"/>
              <w:bottom w:w="0" w:type="dxa"/>
              <w:right w:w="15" w:type="dxa"/>
            </w:tcMar>
            <w:vAlign w:val="center"/>
          </w:tcPr>
          <w:p w14:paraId="676CE024" w14:textId="77777777" w:rsidR="0008228C" w:rsidRDefault="00193375">
            <w:pPr>
              <w:keepNext/>
              <w:tabs>
                <w:tab w:val="left" w:pos="1"/>
                <w:tab w:val="left" w:pos="353"/>
              </w:tabs>
              <w:spacing w:line="300" w:lineRule="auto"/>
              <w:jc w:val="right"/>
            </w:pPr>
            <w:r>
              <w:rPr>
                <w:color w:val="000000"/>
                <w:sz w:val="16"/>
              </w:rPr>
              <w:tab/>
              <w:t>2.37</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56DFB76B"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5F8C64C0"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5.47</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280214A2"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72DE607E"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3.41</w:t>
            </w:r>
            <w:r>
              <w:rPr>
                <w:rFonts w:ascii="Cambria" w:eastAsia="Cambria" w:hAnsi="Cambria" w:cs="Cambria"/>
                <w:color w:val="000000"/>
                <w:sz w:val="16"/>
              </w:rPr>
              <w:tab/>
              <w:t>%</w:t>
            </w:r>
          </w:p>
        </w:tc>
      </w:tr>
      <w:tr w:rsidR="0008228C" w14:paraId="633DAB5F"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2C701F1F" w14:textId="77777777" w:rsidR="0008228C" w:rsidRDefault="00193375">
            <w:pPr>
              <w:keepNext/>
              <w:spacing w:line="300" w:lineRule="auto"/>
              <w:ind w:left="180"/>
            </w:pPr>
            <w:r>
              <w:rPr>
                <w:color w:val="000000"/>
                <w:sz w:val="16"/>
              </w:rPr>
              <w:t>Yield on loans</w:t>
            </w:r>
          </w:p>
        </w:tc>
        <w:tc>
          <w:tcPr>
            <w:tcW w:w="1305" w:type="dxa"/>
            <w:tcBorders>
              <w:top w:val="nil"/>
              <w:left w:val="nil"/>
              <w:bottom w:val="nil"/>
              <w:right w:val="nil"/>
            </w:tcBorders>
            <w:tcMar>
              <w:top w:w="0" w:type="dxa"/>
              <w:left w:w="0" w:type="dxa"/>
              <w:bottom w:w="0" w:type="dxa"/>
              <w:right w:w="15" w:type="dxa"/>
            </w:tcMar>
            <w:vAlign w:val="center"/>
          </w:tcPr>
          <w:p w14:paraId="6466AF71" w14:textId="77777777" w:rsidR="0008228C" w:rsidRDefault="00193375">
            <w:pPr>
              <w:keepNext/>
              <w:tabs>
                <w:tab w:val="left" w:pos="1"/>
                <w:tab w:val="left" w:pos="353"/>
              </w:tabs>
              <w:spacing w:line="300" w:lineRule="auto"/>
              <w:jc w:val="right"/>
            </w:pPr>
            <w:r>
              <w:rPr>
                <w:color w:val="000000"/>
                <w:sz w:val="16"/>
              </w:rPr>
              <w:tab/>
              <w:t>4.70</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52657152"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18B92684"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5.49</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1207539F"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3E1FC10B"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4.08</w:t>
            </w:r>
            <w:r>
              <w:rPr>
                <w:rFonts w:ascii="Cambria" w:eastAsia="Cambria" w:hAnsi="Cambria" w:cs="Cambria"/>
                <w:color w:val="000000"/>
                <w:sz w:val="16"/>
              </w:rPr>
              <w:tab/>
              <w:t>%</w:t>
            </w:r>
          </w:p>
        </w:tc>
      </w:tr>
      <w:tr w:rsidR="0008228C" w14:paraId="337D9E4C"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4FE43653" w14:textId="77777777" w:rsidR="0008228C" w:rsidRDefault="00193375">
            <w:pPr>
              <w:keepNext/>
              <w:spacing w:line="300" w:lineRule="auto"/>
              <w:ind w:left="180"/>
            </w:pPr>
            <w:r>
              <w:rPr>
                <w:color w:val="000000"/>
                <w:sz w:val="16"/>
              </w:rPr>
              <w:t>Yield on earning assets</w:t>
            </w:r>
          </w:p>
        </w:tc>
        <w:tc>
          <w:tcPr>
            <w:tcW w:w="1305" w:type="dxa"/>
            <w:tcBorders>
              <w:top w:val="nil"/>
              <w:left w:val="nil"/>
              <w:bottom w:val="nil"/>
              <w:right w:val="nil"/>
            </w:tcBorders>
            <w:tcMar>
              <w:top w:w="0" w:type="dxa"/>
              <w:left w:w="0" w:type="dxa"/>
              <w:bottom w:w="0" w:type="dxa"/>
              <w:right w:w="15" w:type="dxa"/>
            </w:tcMar>
            <w:vAlign w:val="center"/>
          </w:tcPr>
          <w:p w14:paraId="0104EDB1" w14:textId="77777777" w:rsidR="0008228C" w:rsidRDefault="00193375">
            <w:pPr>
              <w:keepNext/>
              <w:tabs>
                <w:tab w:val="left" w:pos="1"/>
                <w:tab w:val="left" w:pos="353"/>
              </w:tabs>
              <w:spacing w:line="300" w:lineRule="auto"/>
              <w:jc w:val="right"/>
            </w:pPr>
            <w:r>
              <w:rPr>
                <w:color w:val="000000"/>
                <w:sz w:val="16"/>
              </w:rPr>
              <w:tab/>
              <w:t>3.54</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351F431E"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0B5EA900"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3.89</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49860E79"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36E61342"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3.63</w:t>
            </w:r>
            <w:r>
              <w:rPr>
                <w:rFonts w:ascii="Cambria" w:eastAsia="Cambria" w:hAnsi="Cambria" w:cs="Cambria"/>
                <w:color w:val="000000"/>
                <w:sz w:val="16"/>
              </w:rPr>
              <w:tab/>
              <w:t>%</w:t>
            </w:r>
          </w:p>
        </w:tc>
      </w:tr>
      <w:tr w:rsidR="0008228C" w14:paraId="45891BFA"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752EA2D9" w14:textId="77777777" w:rsidR="0008228C" w:rsidRDefault="00193375">
            <w:pPr>
              <w:keepNext/>
              <w:spacing w:line="300" w:lineRule="auto"/>
              <w:ind w:left="180"/>
            </w:pPr>
            <w:r>
              <w:rPr>
                <w:color w:val="000000"/>
                <w:sz w:val="16"/>
              </w:rPr>
              <w:t>Cost of deposits</w:t>
            </w:r>
          </w:p>
        </w:tc>
        <w:tc>
          <w:tcPr>
            <w:tcW w:w="1305" w:type="dxa"/>
            <w:tcBorders>
              <w:top w:val="nil"/>
              <w:left w:val="nil"/>
              <w:bottom w:val="nil"/>
              <w:right w:val="nil"/>
            </w:tcBorders>
            <w:tcMar>
              <w:top w:w="0" w:type="dxa"/>
              <w:left w:w="0" w:type="dxa"/>
              <w:bottom w:w="0" w:type="dxa"/>
              <w:right w:w="15" w:type="dxa"/>
            </w:tcMar>
            <w:vAlign w:val="center"/>
          </w:tcPr>
          <w:p w14:paraId="192A457D" w14:textId="77777777" w:rsidR="0008228C" w:rsidRDefault="00193375">
            <w:pPr>
              <w:keepNext/>
              <w:tabs>
                <w:tab w:val="left" w:pos="1"/>
                <w:tab w:val="left" w:pos="353"/>
              </w:tabs>
              <w:spacing w:line="300" w:lineRule="auto"/>
              <w:jc w:val="right"/>
            </w:pPr>
            <w:r>
              <w:rPr>
                <w:color w:val="000000"/>
                <w:sz w:val="16"/>
              </w:rPr>
              <w:tab/>
              <w:t>0.08</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05B87A32"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113482F8"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0.09</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26911D6A"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282243A0"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0.18</w:t>
            </w:r>
            <w:r>
              <w:rPr>
                <w:rFonts w:ascii="Cambria" w:eastAsia="Cambria" w:hAnsi="Cambria" w:cs="Cambria"/>
                <w:color w:val="000000"/>
                <w:sz w:val="16"/>
              </w:rPr>
              <w:tab/>
              <w:t>%</w:t>
            </w:r>
          </w:p>
        </w:tc>
      </w:tr>
      <w:tr w:rsidR="0008228C" w14:paraId="48B3D40C"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38033145" w14:textId="77777777" w:rsidR="0008228C" w:rsidRDefault="00193375">
            <w:pPr>
              <w:keepNext/>
              <w:spacing w:line="300" w:lineRule="auto"/>
              <w:ind w:left="180"/>
            </w:pPr>
            <w:r>
              <w:rPr>
                <w:color w:val="000000"/>
                <w:sz w:val="16"/>
              </w:rPr>
              <w:t>Cost of funds</w:t>
            </w:r>
          </w:p>
        </w:tc>
        <w:tc>
          <w:tcPr>
            <w:tcW w:w="1305" w:type="dxa"/>
            <w:tcBorders>
              <w:top w:val="nil"/>
              <w:left w:val="nil"/>
              <w:bottom w:val="nil"/>
              <w:right w:val="nil"/>
            </w:tcBorders>
            <w:tcMar>
              <w:top w:w="0" w:type="dxa"/>
              <w:left w:w="0" w:type="dxa"/>
              <w:bottom w:w="0" w:type="dxa"/>
              <w:right w:w="15" w:type="dxa"/>
            </w:tcMar>
            <w:vAlign w:val="center"/>
          </w:tcPr>
          <w:p w14:paraId="6D85E9AC" w14:textId="77777777" w:rsidR="0008228C" w:rsidRDefault="00193375">
            <w:pPr>
              <w:keepNext/>
              <w:tabs>
                <w:tab w:val="left" w:pos="1"/>
                <w:tab w:val="left" w:pos="353"/>
              </w:tabs>
              <w:spacing w:line="300" w:lineRule="auto"/>
              <w:jc w:val="right"/>
            </w:pPr>
            <w:r>
              <w:rPr>
                <w:color w:val="000000"/>
                <w:sz w:val="16"/>
              </w:rPr>
              <w:tab/>
              <w:t>0.14</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456261DF"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6A51818C"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0.15</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53E3DA62"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673DCB79"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0.28</w:t>
            </w:r>
            <w:r>
              <w:rPr>
                <w:rFonts w:ascii="Cambria" w:eastAsia="Cambria" w:hAnsi="Cambria" w:cs="Cambria"/>
                <w:color w:val="000000"/>
                <w:sz w:val="16"/>
              </w:rPr>
              <w:tab/>
              <w:t>%</w:t>
            </w:r>
          </w:p>
        </w:tc>
      </w:tr>
      <w:tr w:rsidR="0008228C" w14:paraId="28F6173A"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35DAAA33" w14:textId="77777777" w:rsidR="0008228C" w:rsidRDefault="00193375">
            <w:pPr>
              <w:keepNext/>
              <w:spacing w:line="300" w:lineRule="auto"/>
              <w:ind w:left="180"/>
            </w:pPr>
            <w:r>
              <w:rPr>
                <w:color w:val="000000"/>
                <w:sz w:val="16"/>
              </w:rPr>
              <w:t>Net interest margin</w:t>
            </w:r>
          </w:p>
        </w:tc>
        <w:tc>
          <w:tcPr>
            <w:tcW w:w="1305" w:type="dxa"/>
            <w:tcBorders>
              <w:top w:val="nil"/>
              <w:left w:val="nil"/>
              <w:bottom w:val="nil"/>
              <w:right w:val="nil"/>
            </w:tcBorders>
            <w:tcMar>
              <w:top w:w="0" w:type="dxa"/>
              <w:left w:w="0" w:type="dxa"/>
              <w:bottom w:w="0" w:type="dxa"/>
              <w:right w:w="15" w:type="dxa"/>
            </w:tcMar>
            <w:vAlign w:val="center"/>
          </w:tcPr>
          <w:p w14:paraId="20C03834" w14:textId="77777777" w:rsidR="0008228C" w:rsidRDefault="00193375">
            <w:pPr>
              <w:keepNext/>
              <w:tabs>
                <w:tab w:val="left" w:pos="1"/>
                <w:tab w:val="left" w:pos="353"/>
              </w:tabs>
              <w:spacing w:line="300" w:lineRule="auto"/>
              <w:jc w:val="right"/>
            </w:pPr>
            <w:r>
              <w:rPr>
                <w:color w:val="000000"/>
                <w:sz w:val="16"/>
              </w:rPr>
              <w:tab/>
              <w:t>3.40</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0938D5EC"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64736698"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3.74</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3A33C756"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6F72FA38"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3.37</w:t>
            </w:r>
            <w:r>
              <w:rPr>
                <w:rFonts w:ascii="Cambria" w:eastAsia="Cambria" w:hAnsi="Cambria" w:cs="Cambria"/>
                <w:color w:val="000000"/>
                <w:sz w:val="16"/>
              </w:rPr>
              <w:tab/>
              <w:t>%</w:t>
            </w:r>
          </w:p>
        </w:tc>
      </w:tr>
      <w:tr w:rsidR="0008228C" w14:paraId="4E744130"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03E5E0AB" w14:textId="77777777" w:rsidR="0008228C" w:rsidRDefault="00193375">
            <w:pPr>
              <w:keepNext/>
              <w:spacing w:line="300" w:lineRule="auto"/>
              <w:ind w:left="180"/>
              <w:rPr>
                <w:sz w:val="16"/>
              </w:rPr>
            </w:pPr>
            <w:r>
              <w:rPr>
                <w:sz w:val="16"/>
              </w:rPr>
              <w:t xml:space="preserve">Efficiency ratio </w:t>
            </w:r>
            <w:r>
              <w:rPr>
                <w:sz w:val="16"/>
                <w:vertAlign w:val="superscript"/>
              </w:rPr>
              <w:t>(1)</w:t>
            </w:r>
          </w:p>
        </w:tc>
        <w:tc>
          <w:tcPr>
            <w:tcW w:w="1305" w:type="dxa"/>
            <w:tcBorders>
              <w:top w:val="nil"/>
              <w:left w:val="nil"/>
              <w:bottom w:val="nil"/>
              <w:right w:val="nil"/>
            </w:tcBorders>
            <w:tcMar>
              <w:top w:w="0" w:type="dxa"/>
              <w:left w:w="0" w:type="dxa"/>
              <w:bottom w:w="0" w:type="dxa"/>
              <w:right w:w="15" w:type="dxa"/>
            </w:tcMar>
            <w:vAlign w:val="center"/>
          </w:tcPr>
          <w:p w14:paraId="24E8B65F" w14:textId="77777777" w:rsidR="0008228C" w:rsidRDefault="00193375">
            <w:pPr>
              <w:keepNext/>
              <w:tabs>
                <w:tab w:val="left" w:pos="1"/>
                <w:tab w:val="left" w:pos="353"/>
              </w:tabs>
              <w:spacing w:line="300" w:lineRule="auto"/>
              <w:jc w:val="right"/>
            </w:pPr>
            <w:r>
              <w:rPr>
                <w:color w:val="000000"/>
                <w:sz w:val="16"/>
              </w:rPr>
              <w:tab/>
              <w:t>80.2</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0EA92179"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0975D2F6"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71.3</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082ADD18"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6F709E42"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84.8</w:t>
            </w:r>
            <w:r>
              <w:rPr>
                <w:rFonts w:ascii="Cambria" w:eastAsia="Cambria" w:hAnsi="Cambria" w:cs="Cambria"/>
                <w:color w:val="000000"/>
                <w:sz w:val="16"/>
              </w:rPr>
              <w:tab/>
              <w:t>%</w:t>
            </w:r>
          </w:p>
        </w:tc>
      </w:tr>
      <w:tr w:rsidR="0008228C" w14:paraId="6D1A268F" w14:textId="77777777">
        <w:trPr>
          <w:cantSplit/>
          <w:trHeight w:hRule="exact" w:val="315"/>
        </w:trPr>
        <w:tc>
          <w:tcPr>
            <w:tcW w:w="3600" w:type="dxa"/>
            <w:tcBorders>
              <w:top w:val="nil"/>
              <w:left w:val="nil"/>
              <w:bottom w:val="nil"/>
              <w:right w:val="nil"/>
            </w:tcBorders>
            <w:tcMar>
              <w:top w:w="0" w:type="dxa"/>
              <w:left w:w="0" w:type="dxa"/>
              <w:bottom w:w="0" w:type="dxa"/>
              <w:right w:w="0" w:type="dxa"/>
            </w:tcMar>
            <w:vAlign w:val="bottom"/>
          </w:tcPr>
          <w:p w14:paraId="5CF5A7FA" w14:textId="77777777" w:rsidR="0008228C" w:rsidRDefault="0008228C">
            <w:pPr>
              <w:keepNext/>
            </w:pPr>
          </w:p>
        </w:tc>
        <w:tc>
          <w:tcPr>
            <w:tcW w:w="1305" w:type="dxa"/>
            <w:tcBorders>
              <w:top w:val="nil"/>
              <w:left w:val="nil"/>
              <w:bottom w:val="nil"/>
              <w:right w:val="nil"/>
            </w:tcBorders>
            <w:tcMar>
              <w:top w:w="0" w:type="dxa"/>
              <w:left w:w="53" w:type="dxa"/>
              <w:bottom w:w="0" w:type="dxa"/>
              <w:right w:w="53" w:type="dxa"/>
            </w:tcMar>
            <w:vAlign w:val="center"/>
          </w:tcPr>
          <w:p w14:paraId="5739FDFB" w14:textId="77777777" w:rsidR="0008228C" w:rsidRDefault="0008228C">
            <w:pPr>
              <w:keepNext/>
              <w:spacing w:line="300" w:lineRule="auto"/>
            </w:pPr>
          </w:p>
        </w:tc>
        <w:tc>
          <w:tcPr>
            <w:tcW w:w="60" w:type="dxa"/>
            <w:tcBorders>
              <w:top w:val="nil"/>
              <w:left w:val="nil"/>
              <w:bottom w:val="nil"/>
              <w:right w:val="nil"/>
            </w:tcBorders>
            <w:tcMar>
              <w:top w:w="0" w:type="dxa"/>
              <w:left w:w="0" w:type="dxa"/>
              <w:bottom w:w="0" w:type="dxa"/>
              <w:right w:w="0" w:type="dxa"/>
            </w:tcMar>
            <w:vAlign w:val="bottom"/>
          </w:tcPr>
          <w:p w14:paraId="66D1700E" w14:textId="77777777" w:rsidR="0008228C" w:rsidRDefault="0008228C">
            <w:pPr>
              <w:keepNext/>
            </w:pPr>
          </w:p>
        </w:tc>
        <w:tc>
          <w:tcPr>
            <w:tcW w:w="1305" w:type="dxa"/>
            <w:tcBorders>
              <w:top w:val="nil"/>
              <w:left w:val="nil"/>
              <w:bottom w:val="nil"/>
              <w:right w:val="nil"/>
            </w:tcBorders>
            <w:tcMar>
              <w:top w:w="0" w:type="dxa"/>
              <w:left w:w="53" w:type="dxa"/>
              <w:bottom w:w="0" w:type="dxa"/>
              <w:right w:w="53" w:type="dxa"/>
            </w:tcMar>
            <w:vAlign w:val="center"/>
          </w:tcPr>
          <w:p w14:paraId="0BC4BC2E" w14:textId="77777777" w:rsidR="0008228C" w:rsidRDefault="0008228C">
            <w:pPr>
              <w:keepNext/>
              <w:spacing w:line="300" w:lineRule="auto"/>
            </w:pPr>
          </w:p>
        </w:tc>
        <w:tc>
          <w:tcPr>
            <w:tcW w:w="60" w:type="dxa"/>
            <w:tcBorders>
              <w:top w:val="nil"/>
              <w:left w:val="nil"/>
              <w:bottom w:val="nil"/>
              <w:right w:val="nil"/>
            </w:tcBorders>
            <w:tcMar>
              <w:top w:w="0" w:type="dxa"/>
              <w:left w:w="53" w:type="dxa"/>
              <w:bottom w:w="0" w:type="dxa"/>
              <w:right w:w="53" w:type="dxa"/>
            </w:tcMar>
            <w:vAlign w:val="center"/>
          </w:tcPr>
          <w:p w14:paraId="1573E431" w14:textId="77777777" w:rsidR="0008228C" w:rsidRDefault="0008228C">
            <w:pPr>
              <w:keepNext/>
              <w:spacing w:line="300" w:lineRule="auto"/>
            </w:pPr>
          </w:p>
        </w:tc>
        <w:tc>
          <w:tcPr>
            <w:tcW w:w="1305" w:type="dxa"/>
            <w:tcBorders>
              <w:top w:val="nil"/>
              <w:left w:val="nil"/>
              <w:bottom w:val="nil"/>
              <w:right w:val="nil"/>
            </w:tcBorders>
            <w:tcMar>
              <w:top w:w="0" w:type="dxa"/>
              <w:left w:w="53" w:type="dxa"/>
              <w:bottom w:w="0" w:type="dxa"/>
              <w:right w:w="53" w:type="dxa"/>
            </w:tcMar>
            <w:vAlign w:val="center"/>
          </w:tcPr>
          <w:p w14:paraId="1A05D71D" w14:textId="77777777" w:rsidR="0008228C" w:rsidRDefault="0008228C">
            <w:pPr>
              <w:keepNext/>
              <w:spacing w:line="300" w:lineRule="auto"/>
            </w:pPr>
          </w:p>
        </w:tc>
      </w:tr>
      <w:tr w:rsidR="0008228C" w14:paraId="1941401E" w14:textId="77777777">
        <w:trPr>
          <w:cantSplit/>
          <w:trHeight w:hRule="exact" w:val="240"/>
        </w:trPr>
        <w:tc>
          <w:tcPr>
            <w:tcW w:w="3600" w:type="dxa"/>
            <w:tcBorders>
              <w:top w:val="nil"/>
              <w:left w:val="nil"/>
              <w:bottom w:val="nil"/>
              <w:right w:val="nil"/>
            </w:tcBorders>
            <w:tcMar>
              <w:top w:w="0" w:type="dxa"/>
              <w:left w:w="53" w:type="dxa"/>
              <w:bottom w:w="0" w:type="dxa"/>
              <w:right w:w="53" w:type="dxa"/>
            </w:tcMar>
            <w:vAlign w:val="center"/>
          </w:tcPr>
          <w:p w14:paraId="1F46308A" w14:textId="77777777" w:rsidR="0008228C" w:rsidRDefault="00193375">
            <w:pPr>
              <w:keepNext/>
              <w:spacing w:line="300" w:lineRule="auto"/>
            </w:pPr>
            <w:r>
              <w:rPr>
                <w:b/>
                <w:color w:val="000000"/>
                <w:sz w:val="16"/>
              </w:rPr>
              <w:t>CAPITAL</w:t>
            </w:r>
          </w:p>
        </w:tc>
        <w:tc>
          <w:tcPr>
            <w:tcW w:w="1305" w:type="dxa"/>
            <w:tcBorders>
              <w:top w:val="nil"/>
              <w:left w:val="nil"/>
              <w:bottom w:val="nil"/>
              <w:right w:val="nil"/>
            </w:tcBorders>
            <w:tcMar>
              <w:top w:w="0" w:type="dxa"/>
              <w:left w:w="53" w:type="dxa"/>
              <w:bottom w:w="0" w:type="dxa"/>
              <w:right w:w="53" w:type="dxa"/>
            </w:tcMar>
            <w:vAlign w:val="center"/>
          </w:tcPr>
          <w:p w14:paraId="62C0E9E2" w14:textId="77777777" w:rsidR="0008228C" w:rsidRDefault="0008228C">
            <w:pPr>
              <w:keepNext/>
              <w:spacing w:line="300" w:lineRule="auto"/>
            </w:pPr>
          </w:p>
        </w:tc>
        <w:tc>
          <w:tcPr>
            <w:tcW w:w="60" w:type="dxa"/>
            <w:tcBorders>
              <w:top w:val="nil"/>
              <w:left w:val="nil"/>
              <w:bottom w:val="nil"/>
              <w:right w:val="nil"/>
            </w:tcBorders>
            <w:tcMar>
              <w:top w:w="0" w:type="dxa"/>
              <w:left w:w="0" w:type="dxa"/>
              <w:bottom w:w="0" w:type="dxa"/>
              <w:right w:w="0" w:type="dxa"/>
            </w:tcMar>
            <w:vAlign w:val="bottom"/>
          </w:tcPr>
          <w:p w14:paraId="1DD97572" w14:textId="77777777" w:rsidR="0008228C" w:rsidRDefault="0008228C">
            <w:pPr>
              <w:keepNext/>
            </w:pPr>
          </w:p>
        </w:tc>
        <w:tc>
          <w:tcPr>
            <w:tcW w:w="1305" w:type="dxa"/>
            <w:tcBorders>
              <w:top w:val="nil"/>
              <w:left w:val="nil"/>
              <w:bottom w:val="nil"/>
              <w:right w:val="nil"/>
            </w:tcBorders>
            <w:tcMar>
              <w:top w:w="0" w:type="dxa"/>
              <w:left w:w="53" w:type="dxa"/>
              <w:bottom w:w="0" w:type="dxa"/>
              <w:right w:w="53" w:type="dxa"/>
            </w:tcMar>
            <w:vAlign w:val="center"/>
          </w:tcPr>
          <w:p w14:paraId="3A7B50EF" w14:textId="77777777" w:rsidR="0008228C" w:rsidRDefault="0008228C">
            <w:pPr>
              <w:keepNext/>
              <w:spacing w:line="300" w:lineRule="auto"/>
            </w:pPr>
          </w:p>
        </w:tc>
        <w:tc>
          <w:tcPr>
            <w:tcW w:w="60" w:type="dxa"/>
            <w:tcBorders>
              <w:top w:val="nil"/>
              <w:left w:val="nil"/>
              <w:bottom w:val="nil"/>
              <w:right w:val="nil"/>
            </w:tcBorders>
            <w:tcMar>
              <w:top w:w="0" w:type="dxa"/>
              <w:left w:w="53" w:type="dxa"/>
              <w:bottom w:w="0" w:type="dxa"/>
              <w:right w:w="53" w:type="dxa"/>
            </w:tcMar>
            <w:vAlign w:val="center"/>
          </w:tcPr>
          <w:p w14:paraId="27DCB558" w14:textId="77777777" w:rsidR="0008228C" w:rsidRDefault="0008228C">
            <w:pPr>
              <w:keepNext/>
              <w:spacing w:line="300" w:lineRule="auto"/>
            </w:pPr>
          </w:p>
        </w:tc>
        <w:tc>
          <w:tcPr>
            <w:tcW w:w="1305" w:type="dxa"/>
            <w:tcBorders>
              <w:top w:val="nil"/>
              <w:left w:val="nil"/>
              <w:bottom w:val="nil"/>
              <w:right w:val="nil"/>
            </w:tcBorders>
            <w:tcMar>
              <w:top w:w="0" w:type="dxa"/>
              <w:left w:w="53" w:type="dxa"/>
              <w:bottom w:w="0" w:type="dxa"/>
              <w:right w:w="53" w:type="dxa"/>
            </w:tcMar>
            <w:vAlign w:val="center"/>
          </w:tcPr>
          <w:p w14:paraId="5925C69C" w14:textId="77777777" w:rsidR="0008228C" w:rsidRDefault="0008228C">
            <w:pPr>
              <w:keepNext/>
              <w:spacing w:line="300" w:lineRule="auto"/>
            </w:pPr>
          </w:p>
        </w:tc>
      </w:tr>
      <w:tr w:rsidR="0008228C" w14:paraId="2092B3EF"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77457285" w14:textId="77777777" w:rsidR="0008228C" w:rsidRDefault="00193375">
            <w:pPr>
              <w:keepNext/>
              <w:spacing w:line="300" w:lineRule="auto"/>
              <w:ind w:left="180"/>
              <w:rPr>
                <w:sz w:val="16"/>
              </w:rPr>
            </w:pPr>
            <w:r>
              <w:rPr>
                <w:sz w:val="16"/>
              </w:rPr>
              <w:t xml:space="preserve">Tangible equity to tangible assets </w:t>
            </w:r>
            <w:r>
              <w:rPr>
                <w:sz w:val="16"/>
                <w:vertAlign w:val="superscript"/>
              </w:rPr>
              <w:t>(1)</w:t>
            </w:r>
          </w:p>
        </w:tc>
        <w:tc>
          <w:tcPr>
            <w:tcW w:w="1305" w:type="dxa"/>
            <w:tcBorders>
              <w:top w:val="nil"/>
              <w:left w:val="nil"/>
              <w:bottom w:val="nil"/>
              <w:right w:val="nil"/>
            </w:tcBorders>
            <w:tcMar>
              <w:top w:w="0" w:type="dxa"/>
              <w:left w:w="0" w:type="dxa"/>
              <w:bottom w:w="0" w:type="dxa"/>
              <w:right w:w="15" w:type="dxa"/>
            </w:tcMar>
            <w:vAlign w:val="center"/>
          </w:tcPr>
          <w:p w14:paraId="3E475E4A" w14:textId="77777777" w:rsidR="0008228C" w:rsidRDefault="00193375">
            <w:pPr>
              <w:keepNext/>
              <w:tabs>
                <w:tab w:val="left" w:pos="1"/>
                <w:tab w:val="left" w:pos="353"/>
              </w:tabs>
              <w:spacing w:line="300" w:lineRule="auto"/>
              <w:jc w:val="right"/>
            </w:pPr>
            <w:r>
              <w:rPr>
                <w:color w:val="000000"/>
                <w:sz w:val="16"/>
              </w:rPr>
              <w:tab/>
              <w:t>9.21</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52F90E08"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379C17E2"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9.35</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7A4CFDCF"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76B1DDB1"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9.05</w:t>
            </w:r>
            <w:r>
              <w:rPr>
                <w:rFonts w:ascii="Cambria" w:eastAsia="Cambria" w:hAnsi="Cambria" w:cs="Cambria"/>
                <w:color w:val="000000"/>
                <w:sz w:val="16"/>
              </w:rPr>
              <w:tab/>
              <w:t>%</w:t>
            </w:r>
          </w:p>
        </w:tc>
      </w:tr>
      <w:tr w:rsidR="0008228C" w14:paraId="52102E71"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370D8934" w14:textId="77777777" w:rsidR="0008228C" w:rsidRDefault="00193375">
            <w:pPr>
              <w:keepNext/>
              <w:spacing w:line="300" w:lineRule="auto"/>
              <w:ind w:left="180"/>
            </w:pPr>
            <w:r>
              <w:rPr>
                <w:color w:val="000000"/>
                <w:sz w:val="16"/>
              </w:rPr>
              <w:t>Book value (BV) per common share</w:t>
            </w:r>
          </w:p>
        </w:tc>
        <w:tc>
          <w:tcPr>
            <w:tcW w:w="1305" w:type="dxa"/>
            <w:tcBorders>
              <w:top w:val="nil"/>
              <w:left w:val="nil"/>
              <w:bottom w:val="nil"/>
              <w:right w:val="nil"/>
            </w:tcBorders>
            <w:tcMar>
              <w:top w:w="0" w:type="dxa"/>
              <w:left w:w="0" w:type="dxa"/>
              <w:bottom w:w="0" w:type="dxa"/>
              <w:right w:w="15" w:type="dxa"/>
            </w:tcMar>
            <w:vAlign w:val="center"/>
          </w:tcPr>
          <w:p w14:paraId="1D555E45" w14:textId="77777777" w:rsidR="0008228C" w:rsidRDefault="00193375">
            <w:pPr>
              <w:keepNext/>
              <w:tabs>
                <w:tab w:val="left" w:pos="676"/>
                <w:tab w:val="left" w:pos="1237"/>
              </w:tabs>
              <w:spacing w:line="300" w:lineRule="auto"/>
              <w:jc w:val="right"/>
            </w:pPr>
            <w:r>
              <w:rPr>
                <w:color w:val="000000"/>
                <w:sz w:val="16"/>
              </w:rPr>
              <w:t>$</w:t>
            </w:r>
            <w:r>
              <w:rPr>
                <w:color w:val="000000"/>
                <w:sz w:val="16"/>
              </w:rPr>
              <w:tab/>
              <w:t>13.90</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6F0E3064"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0E63566E"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13.92</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53" w:type="dxa"/>
            </w:tcMar>
            <w:vAlign w:val="center"/>
          </w:tcPr>
          <w:p w14:paraId="13F7753B"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175925EA"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12.88</w:t>
            </w:r>
            <w:r>
              <w:rPr>
                <w:rFonts w:ascii="Cambria" w:eastAsia="Cambria" w:hAnsi="Cambria" w:cs="Cambria"/>
                <w:color w:val="000000"/>
                <w:sz w:val="16"/>
              </w:rPr>
              <w:tab/>
            </w:r>
          </w:p>
        </w:tc>
      </w:tr>
      <w:tr w:rsidR="0008228C" w14:paraId="200455E2"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51D273E0" w14:textId="77777777" w:rsidR="0008228C" w:rsidRDefault="00193375">
            <w:pPr>
              <w:keepNext/>
              <w:spacing w:line="300" w:lineRule="auto"/>
              <w:ind w:left="180"/>
              <w:rPr>
                <w:sz w:val="16"/>
              </w:rPr>
            </w:pPr>
            <w:r>
              <w:rPr>
                <w:sz w:val="16"/>
              </w:rPr>
              <w:t xml:space="preserve">Tangible BV per common share </w:t>
            </w:r>
            <w:r>
              <w:rPr>
                <w:sz w:val="16"/>
                <w:vertAlign w:val="superscript"/>
              </w:rPr>
              <w:t>(1)</w:t>
            </w:r>
          </w:p>
        </w:tc>
        <w:tc>
          <w:tcPr>
            <w:tcW w:w="1305" w:type="dxa"/>
            <w:tcBorders>
              <w:top w:val="nil"/>
              <w:left w:val="nil"/>
              <w:bottom w:val="nil"/>
              <w:right w:val="nil"/>
            </w:tcBorders>
            <w:tcMar>
              <w:top w:w="0" w:type="dxa"/>
              <w:left w:w="0" w:type="dxa"/>
              <w:bottom w:w="0" w:type="dxa"/>
              <w:right w:w="15" w:type="dxa"/>
            </w:tcMar>
            <w:vAlign w:val="center"/>
          </w:tcPr>
          <w:p w14:paraId="11B43584" w14:textId="77777777" w:rsidR="0008228C" w:rsidRDefault="00193375">
            <w:pPr>
              <w:keepNext/>
              <w:tabs>
                <w:tab w:val="left" w:pos="676"/>
                <w:tab w:val="left" w:pos="1237"/>
              </w:tabs>
              <w:spacing w:line="300" w:lineRule="auto"/>
              <w:jc w:val="right"/>
            </w:pPr>
            <w:r>
              <w:rPr>
                <w:color w:val="000000"/>
                <w:sz w:val="16"/>
              </w:rPr>
              <w:t>$</w:t>
            </w:r>
            <w:r>
              <w:rPr>
                <w:color w:val="000000"/>
                <w:sz w:val="16"/>
              </w:rPr>
              <w:tab/>
              <w:t>11.72</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4975B3F6"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4385C83F"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11.73</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53" w:type="dxa"/>
            </w:tcMar>
            <w:vAlign w:val="center"/>
          </w:tcPr>
          <w:p w14:paraId="7E5FF798"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42AA72D6"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11.26</w:t>
            </w:r>
            <w:r>
              <w:rPr>
                <w:rFonts w:ascii="Cambria" w:eastAsia="Cambria" w:hAnsi="Cambria" w:cs="Cambria"/>
                <w:color w:val="000000"/>
                <w:sz w:val="16"/>
              </w:rPr>
              <w:tab/>
            </w:r>
          </w:p>
        </w:tc>
      </w:tr>
      <w:tr w:rsidR="0008228C" w14:paraId="12B94B37" w14:textId="77777777">
        <w:trPr>
          <w:cantSplit/>
          <w:trHeight w:hRule="exact" w:val="315"/>
        </w:trPr>
        <w:tc>
          <w:tcPr>
            <w:tcW w:w="3600" w:type="dxa"/>
            <w:tcBorders>
              <w:top w:val="nil"/>
              <w:left w:val="nil"/>
              <w:bottom w:val="nil"/>
              <w:right w:val="nil"/>
            </w:tcBorders>
            <w:tcMar>
              <w:top w:w="0" w:type="dxa"/>
              <w:left w:w="0" w:type="dxa"/>
              <w:bottom w:w="0" w:type="dxa"/>
              <w:right w:w="0" w:type="dxa"/>
            </w:tcMar>
            <w:vAlign w:val="bottom"/>
          </w:tcPr>
          <w:p w14:paraId="615F8648" w14:textId="77777777" w:rsidR="0008228C" w:rsidRDefault="0008228C">
            <w:pPr>
              <w:keepNext/>
            </w:pPr>
          </w:p>
        </w:tc>
        <w:tc>
          <w:tcPr>
            <w:tcW w:w="1305" w:type="dxa"/>
            <w:tcBorders>
              <w:top w:val="nil"/>
              <w:left w:val="nil"/>
              <w:bottom w:val="nil"/>
              <w:right w:val="nil"/>
            </w:tcBorders>
            <w:tcMar>
              <w:top w:w="0" w:type="dxa"/>
              <w:left w:w="0" w:type="dxa"/>
              <w:bottom w:w="0" w:type="dxa"/>
              <w:right w:w="53" w:type="dxa"/>
            </w:tcMar>
            <w:vAlign w:val="center"/>
          </w:tcPr>
          <w:p w14:paraId="28AF676D"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6C1F9052" w14:textId="77777777" w:rsidR="0008228C" w:rsidRDefault="0008228C">
            <w:pPr>
              <w:keepNext/>
            </w:pPr>
          </w:p>
        </w:tc>
        <w:tc>
          <w:tcPr>
            <w:tcW w:w="1305" w:type="dxa"/>
            <w:tcBorders>
              <w:top w:val="nil"/>
              <w:left w:val="nil"/>
              <w:bottom w:val="nil"/>
              <w:right w:val="nil"/>
            </w:tcBorders>
            <w:tcMar>
              <w:top w:w="0" w:type="dxa"/>
              <w:left w:w="0" w:type="dxa"/>
              <w:bottom w:w="0" w:type="dxa"/>
              <w:right w:w="53" w:type="dxa"/>
            </w:tcMar>
            <w:vAlign w:val="center"/>
          </w:tcPr>
          <w:p w14:paraId="11F07DD2"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5217A7A5"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70875448" w14:textId="77777777" w:rsidR="0008228C" w:rsidRDefault="0008228C">
            <w:pPr>
              <w:keepNext/>
              <w:spacing w:line="300" w:lineRule="auto"/>
              <w:jc w:val="right"/>
            </w:pPr>
          </w:p>
        </w:tc>
      </w:tr>
      <w:tr w:rsidR="0008228C" w14:paraId="65455CC5" w14:textId="77777777">
        <w:trPr>
          <w:cantSplit/>
          <w:trHeight w:hRule="exact" w:val="240"/>
        </w:trPr>
        <w:tc>
          <w:tcPr>
            <w:tcW w:w="3600" w:type="dxa"/>
            <w:tcBorders>
              <w:top w:val="nil"/>
              <w:left w:val="nil"/>
              <w:bottom w:val="nil"/>
              <w:right w:val="nil"/>
            </w:tcBorders>
            <w:tcMar>
              <w:top w:w="0" w:type="dxa"/>
              <w:left w:w="53" w:type="dxa"/>
              <w:bottom w:w="0" w:type="dxa"/>
              <w:right w:w="53" w:type="dxa"/>
            </w:tcMar>
            <w:vAlign w:val="center"/>
          </w:tcPr>
          <w:p w14:paraId="69873699" w14:textId="77777777" w:rsidR="0008228C" w:rsidRDefault="00193375">
            <w:pPr>
              <w:keepNext/>
              <w:spacing w:line="300" w:lineRule="auto"/>
            </w:pPr>
            <w:r>
              <w:rPr>
                <w:b/>
                <w:color w:val="000000"/>
                <w:sz w:val="16"/>
              </w:rPr>
              <w:t>ASSET QUALITY</w:t>
            </w:r>
          </w:p>
        </w:tc>
        <w:tc>
          <w:tcPr>
            <w:tcW w:w="1305" w:type="dxa"/>
            <w:tcBorders>
              <w:top w:val="nil"/>
              <w:left w:val="nil"/>
              <w:bottom w:val="nil"/>
              <w:right w:val="nil"/>
            </w:tcBorders>
            <w:tcMar>
              <w:top w:w="0" w:type="dxa"/>
              <w:left w:w="0" w:type="dxa"/>
              <w:bottom w:w="0" w:type="dxa"/>
              <w:right w:w="53" w:type="dxa"/>
            </w:tcMar>
            <w:vAlign w:val="center"/>
          </w:tcPr>
          <w:p w14:paraId="03467F93"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4298E4C6" w14:textId="77777777" w:rsidR="0008228C" w:rsidRDefault="0008228C">
            <w:pPr>
              <w:keepNext/>
            </w:pPr>
          </w:p>
        </w:tc>
        <w:tc>
          <w:tcPr>
            <w:tcW w:w="1305" w:type="dxa"/>
            <w:tcBorders>
              <w:top w:val="nil"/>
              <w:left w:val="nil"/>
              <w:bottom w:val="nil"/>
              <w:right w:val="nil"/>
            </w:tcBorders>
            <w:tcMar>
              <w:top w:w="0" w:type="dxa"/>
              <w:left w:w="0" w:type="dxa"/>
              <w:bottom w:w="0" w:type="dxa"/>
              <w:right w:w="53" w:type="dxa"/>
            </w:tcMar>
            <w:vAlign w:val="center"/>
          </w:tcPr>
          <w:p w14:paraId="7E8D4683"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0CD7047B"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2FD3A3F3" w14:textId="77777777" w:rsidR="0008228C" w:rsidRDefault="0008228C">
            <w:pPr>
              <w:keepNext/>
              <w:spacing w:line="300" w:lineRule="auto"/>
              <w:jc w:val="right"/>
            </w:pPr>
          </w:p>
        </w:tc>
      </w:tr>
      <w:tr w:rsidR="0008228C" w14:paraId="36D4F703"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3104D3F3" w14:textId="77777777" w:rsidR="0008228C" w:rsidRDefault="00193375">
            <w:pPr>
              <w:keepNext/>
              <w:spacing w:line="300" w:lineRule="auto"/>
              <w:ind w:left="180"/>
            </w:pPr>
            <w:r>
              <w:rPr>
                <w:color w:val="000000"/>
                <w:sz w:val="16"/>
              </w:rPr>
              <w:t>Net loan recoveries</w:t>
            </w:r>
          </w:p>
        </w:tc>
        <w:tc>
          <w:tcPr>
            <w:tcW w:w="1305" w:type="dxa"/>
            <w:tcBorders>
              <w:top w:val="nil"/>
              <w:left w:val="nil"/>
              <w:bottom w:val="nil"/>
              <w:right w:val="nil"/>
            </w:tcBorders>
            <w:tcMar>
              <w:top w:w="0" w:type="dxa"/>
              <w:left w:w="0" w:type="dxa"/>
              <w:bottom w:w="0" w:type="dxa"/>
              <w:right w:w="15" w:type="dxa"/>
            </w:tcMar>
            <w:vAlign w:val="center"/>
          </w:tcPr>
          <w:p w14:paraId="2143D7B6" w14:textId="77777777" w:rsidR="0008228C" w:rsidRDefault="00193375">
            <w:pPr>
              <w:keepNext/>
              <w:tabs>
                <w:tab w:val="left" w:pos="798"/>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(27)</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42B73111"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08E22BC0" w14:textId="77777777" w:rsidR="0008228C" w:rsidRDefault="00193375">
            <w:pPr>
              <w:keepNext/>
              <w:tabs>
                <w:tab w:val="left" w:pos="798"/>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(92)</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67B51EAB"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2A666F9F" w14:textId="77777777" w:rsidR="0008228C" w:rsidRDefault="00193375">
            <w:pPr>
              <w:keepNext/>
              <w:tabs>
                <w:tab w:val="left" w:pos="798"/>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(15)</w:t>
            </w:r>
            <w:r>
              <w:rPr>
                <w:rFonts w:ascii="Cambria" w:eastAsia="Cambria" w:hAnsi="Cambria" w:cs="Cambria"/>
                <w:color w:val="000000"/>
                <w:sz w:val="16"/>
              </w:rPr>
              <w:tab/>
            </w:r>
          </w:p>
        </w:tc>
      </w:tr>
      <w:tr w:rsidR="0008228C" w14:paraId="03C249E3"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2314F62C" w14:textId="77777777" w:rsidR="0008228C" w:rsidRDefault="00193375">
            <w:pPr>
              <w:keepNext/>
              <w:spacing w:line="300" w:lineRule="auto"/>
              <w:ind w:left="180"/>
            </w:pPr>
            <w:r>
              <w:rPr>
                <w:color w:val="000000"/>
                <w:sz w:val="16"/>
              </w:rPr>
              <w:t>Allowance for loan losses (ALLL)</w:t>
            </w:r>
          </w:p>
        </w:tc>
        <w:tc>
          <w:tcPr>
            <w:tcW w:w="1305" w:type="dxa"/>
            <w:tcBorders>
              <w:top w:val="nil"/>
              <w:left w:val="nil"/>
              <w:bottom w:val="nil"/>
              <w:right w:val="nil"/>
            </w:tcBorders>
            <w:tcMar>
              <w:top w:w="0" w:type="dxa"/>
              <w:left w:w="0" w:type="dxa"/>
              <w:bottom w:w="0" w:type="dxa"/>
              <w:right w:w="15" w:type="dxa"/>
            </w:tcMar>
            <w:vAlign w:val="center"/>
          </w:tcPr>
          <w:p w14:paraId="7634C5C8" w14:textId="77777777" w:rsidR="0008228C" w:rsidRDefault="00193375">
            <w:pPr>
              <w:keepNext/>
              <w:tabs>
                <w:tab w:val="left" w:pos="56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13,534</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619474A7"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174C1332" w14:textId="77777777" w:rsidR="0008228C" w:rsidRDefault="00193375">
            <w:pPr>
              <w:keepNext/>
              <w:tabs>
                <w:tab w:val="left" w:pos="56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11,657</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5C89278D"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14BF2384" w14:textId="77777777" w:rsidR="0008228C" w:rsidRDefault="00193375">
            <w:pPr>
              <w:keepNext/>
              <w:tabs>
                <w:tab w:val="left" w:pos="56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10,270</w:t>
            </w:r>
            <w:r>
              <w:rPr>
                <w:rFonts w:ascii="Cambria" w:eastAsia="Cambria" w:hAnsi="Cambria" w:cs="Cambria"/>
                <w:color w:val="000000"/>
                <w:sz w:val="16"/>
              </w:rPr>
              <w:tab/>
            </w:r>
          </w:p>
        </w:tc>
      </w:tr>
      <w:tr w:rsidR="0008228C" w14:paraId="3198AF5D"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4F992F27" w14:textId="77777777" w:rsidR="0008228C" w:rsidRDefault="00193375">
            <w:pPr>
              <w:keepNext/>
              <w:spacing w:line="300" w:lineRule="auto"/>
              <w:ind w:left="180"/>
            </w:pPr>
            <w:r>
              <w:rPr>
                <w:color w:val="000000"/>
                <w:sz w:val="16"/>
              </w:rPr>
              <w:t>ALLL to total loans</w:t>
            </w:r>
          </w:p>
        </w:tc>
        <w:tc>
          <w:tcPr>
            <w:tcW w:w="1305" w:type="dxa"/>
            <w:tcBorders>
              <w:top w:val="nil"/>
              <w:left w:val="nil"/>
              <w:bottom w:val="nil"/>
              <w:right w:val="nil"/>
            </w:tcBorders>
            <w:tcMar>
              <w:top w:w="0" w:type="dxa"/>
              <w:left w:w="0" w:type="dxa"/>
              <w:bottom w:w="0" w:type="dxa"/>
              <w:right w:w="15" w:type="dxa"/>
            </w:tcMar>
            <w:vAlign w:val="center"/>
          </w:tcPr>
          <w:p w14:paraId="42B2D305"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0.83</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61563736"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43910F00"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0.77</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2EF93A8F"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2A484556"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0.73</w:t>
            </w:r>
            <w:r>
              <w:rPr>
                <w:rFonts w:ascii="Cambria" w:eastAsia="Cambria" w:hAnsi="Cambria" w:cs="Cambria"/>
                <w:color w:val="000000"/>
                <w:sz w:val="16"/>
              </w:rPr>
              <w:tab/>
              <w:t>%</w:t>
            </w:r>
          </w:p>
        </w:tc>
      </w:tr>
      <w:tr w:rsidR="0008228C" w14:paraId="43769DBB"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498C4253" w14:textId="77777777" w:rsidR="0008228C" w:rsidRDefault="00193375">
            <w:pPr>
              <w:keepNext/>
              <w:spacing w:line="300" w:lineRule="auto"/>
              <w:ind w:left="180"/>
            </w:pPr>
            <w:r>
              <w:rPr>
                <w:color w:val="000000"/>
                <w:sz w:val="16"/>
              </w:rPr>
              <w:t>ALLL to total loans (excl PPP)</w:t>
            </w:r>
          </w:p>
        </w:tc>
        <w:tc>
          <w:tcPr>
            <w:tcW w:w="1305" w:type="dxa"/>
            <w:tcBorders>
              <w:top w:val="nil"/>
              <w:left w:val="nil"/>
              <w:bottom w:val="nil"/>
              <w:right w:val="nil"/>
            </w:tcBorders>
            <w:tcMar>
              <w:top w:w="0" w:type="dxa"/>
              <w:left w:w="0" w:type="dxa"/>
              <w:bottom w:w="0" w:type="dxa"/>
              <w:right w:w="15" w:type="dxa"/>
            </w:tcMar>
            <w:vAlign w:val="center"/>
          </w:tcPr>
          <w:p w14:paraId="24D94531"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0.84</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3E4036E0"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4086138E"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0.81</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72A902CD"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58DD78F8"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1.13</w:t>
            </w:r>
            <w:r>
              <w:rPr>
                <w:rFonts w:ascii="Cambria" w:eastAsia="Cambria" w:hAnsi="Cambria" w:cs="Cambria"/>
                <w:color w:val="000000"/>
                <w:sz w:val="16"/>
              </w:rPr>
              <w:tab/>
              <w:t>%</w:t>
            </w:r>
          </w:p>
        </w:tc>
      </w:tr>
      <w:tr w:rsidR="0008228C" w14:paraId="44C1EF2A"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388DEE65" w14:textId="77777777" w:rsidR="0008228C" w:rsidRDefault="00193375">
            <w:pPr>
              <w:keepNext/>
              <w:spacing w:line="300" w:lineRule="auto"/>
              <w:ind w:left="180"/>
            </w:pPr>
            <w:r>
              <w:rPr>
                <w:color w:val="000000"/>
                <w:sz w:val="16"/>
              </w:rPr>
              <w:t>Nonperforming loans</w:t>
            </w:r>
          </w:p>
        </w:tc>
        <w:tc>
          <w:tcPr>
            <w:tcW w:w="1305" w:type="dxa"/>
            <w:tcBorders>
              <w:top w:val="nil"/>
              <w:left w:val="nil"/>
              <w:bottom w:val="nil"/>
              <w:right w:val="nil"/>
            </w:tcBorders>
            <w:tcMar>
              <w:top w:w="0" w:type="dxa"/>
              <w:left w:w="0" w:type="dxa"/>
              <w:bottom w:w="0" w:type="dxa"/>
              <w:right w:w="15" w:type="dxa"/>
            </w:tcMar>
            <w:vAlign w:val="center"/>
          </w:tcPr>
          <w:p w14:paraId="37FF5BE7" w14:textId="77777777" w:rsidR="0008228C" w:rsidRDefault="00193375">
            <w:pPr>
              <w:keepNext/>
              <w:tabs>
                <w:tab w:val="left" w:pos="649"/>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1,978</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A758422"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695AF6AC" w14:textId="77777777" w:rsidR="0008228C" w:rsidRDefault="00193375">
            <w:pPr>
              <w:keepNext/>
              <w:tabs>
                <w:tab w:val="left" w:pos="770"/>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809</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61B61B05"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2237764B" w14:textId="77777777" w:rsidR="0008228C" w:rsidRDefault="00193375">
            <w:pPr>
              <w:keepNext/>
              <w:tabs>
                <w:tab w:val="left" w:pos="770"/>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808</w:t>
            </w:r>
            <w:r>
              <w:rPr>
                <w:rFonts w:ascii="Cambria" w:eastAsia="Cambria" w:hAnsi="Cambria" w:cs="Cambria"/>
                <w:color w:val="000000"/>
                <w:sz w:val="16"/>
              </w:rPr>
              <w:tab/>
            </w:r>
          </w:p>
        </w:tc>
      </w:tr>
      <w:tr w:rsidR="0008228C" w14:paraId="3FA79528"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5F0108E1" w14:textId="77777777" w:rsidR="0008228C" w:rsidRDefault="00193375">
            <w:pPr>
              <w:keepNext/>
              <w:spacing w:line="300" w:lineRule="auto"/>
              <w:ind w:left="180"/>
            </w:pPr>
            <w:r>
              <w:rPr>
                <w:color w:val="000000"/>
                <w:sz w:val="16"/>
              </w:rPr>
              <w:t>Other real estate owned</w:t>
            </w:r>
          </w:p>
        </w:tc>
        <w:tc>
          <w:tcPr>
            <w:tcW w:w="1305" w:type="dxa"/>
            <w:tcBorders>
              <w:top w:val="nil"/>
              <w:left w:val="nil"/>
              <w:bottom w:val="nil"/>
              <w:right w:val="nil"/>
            </w:tcBorders>
            <w:tcMar>
              <w:top w:w="0" w:type="dxa"/>
              <w:left w:w="0" w:type="dxa"/>
              <w:bottom w:w="0" w:type="dxa"/>
              <w:right w:w="15" w:type="dxa"/>
            </w:tcMar>
            <w:vAlign w:val="center"/>
          </w:tcPr>
          <w:p w14:paraId="45BE8BC9" w14:textId="77777777" w:rsidR="0008228C" w:rsidRDefault="00193375">
            <w:pPr>
              <w:keepNext/>
              <w:tabs>
                <w:tab w:val="left" w:pos="876"/>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3A057503"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7E66C981" w14:textId="77777777" w:rsidR="0008228C" w:rsidRDefault="00193375">
            <w:pPr>
              <w:keepNext/>
              <w:tabs>
                <w:tab w:val="left" w:pos="876"/>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484D5CC3"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5AEC8B44" w14:textId="77777777" w:rsidR="0008228C" w:rsidRDefault="00193375">
            <w:pPr>
              <w:keepNext/>
              <w:tabs>
                <w:tab w:val="left" w:pos="876"/>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w:t>
            </w:r>
            <w:r>
              <w:rPr>
                <w:rFonts w:ascii="Cambria" w:eastAsia="Cambria" w:hAnsi="Cambria" w:cs="Cambria"/>
                <w:color w:val="000000"/>
                <w:sz w:val="16"/>
              </w:rPr>
              <w:tab/>
            </w:r>
          </w:p>
        </w:tc>
      </w:tr>
      <w:tr w:rsidR="0008228C" w14:paraId="411E24F8"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1B11F720" w14:textId="77777777" w:rsidR="0008228C" w:rsidRDefault="00193375">
            <w:pPr>
              <w:keepNext/>
              <w:spacing w:line="300" w:lineRule="auto"/>
              <w:ind w:left="180"/>
            </w:pPr>
            <w:r>
              <w:rPr>
                <w:color w:val="000000"/>
                <w:sz w:val="16"/>
              </w:rPr>
              <w:t>Nonperforming assets to total assets</w:t>
            </w:r>
          </w:p>
        </w:tc>
        <w:tc>
          <w:tcPr>
            <w:tcW w:w="1305" w:type="dxa"/>
            <w:tcBorders>
              <w:top w:val="nil"/>
              <w:left w:val="nil"/>
              <w:bottom w:val="nil"/>
              <w:right w:val="nil"/>
            </w:tcBorders>
            <w:tcMar>
              <w:top w:w="0" w:type="dxa"/>
              <w:left w:w="0" w:type="dxa"/>
              <w:bottom w:w="0" w:type="dxa"/>
              <w:right w:w="15" w:type="dxa"/>
            </w:tcMar>
            <w:vAlign w:val="center"/>
          </w:tcPr>
          <w:p w14:paraId="1B424711"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0.09</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58AD12BE"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02B4EC60"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0.04</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71DCE12F"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41B7BEC3"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0.05</w:t>
            </w:r>
            <w:r>
              <w:rPr>
                <w:rFonts w:ascii="Cambria" w:eastAsia="Cambria" w:hAnsi="Cambria" w:cs="Cambria"/>
                <w:color w:val="000000"/>
                <w:sz w:val="16"/>
              </w:rPr>
              <w:tab/>
              <w:t>%</w:t>
            </w:r>
          </w:p>
        </w:tc>
      </w:tr>
      <w:tr w:rsidR="0008228C" w14:paraId="4610AD11" w14:textId="77777777">
        <w:trPr>
          <w:cantSplit/>
          <w:trHeight w:hRule="exact" w:val="315"/>
        </w:trPr>
        <w:tc>
          <w:tcPr>
            <w:tcW w:w="3600" w:type="dxa"/>
            <w:tcBorders>
              <w:top w:val="nil"/>
              <w:left w:val="nil"/>
              <w:bottom w:val="nil"/>
              <w:right w:val="nil"/>
            </w:tcBorders>
            <w:tcMar>
              <w:top w:w="0" w:type="dxa"/>
              <w:left w:w="0" w:type="dxa"/>
              <w:bottom w:w="0" w:type="dxa"/>
              <w:right w:w="0" w:type="dxa"/>
            </w:tcMar>
            <w:vAlign w:val="bottom"/>
          </w:tcPr>
          <w:p w14:paraId="3C7D07AD" w14:textId="77777777" w:rsidR="0008228C" w:rsidRDefault="0008228C">
            <w:pPr>
              <w:keepNext/>
            </w:pPr>
          </w:p>
        </w:tc>
        <w:tc>
          <w:tcPr>
            <w:tcW w:w="1305" w:type="dxa"/>
            <w:tcBorders>
              <w:top w:val="nil"/>
              <w:left w:val="nil"/>
              <w:bottom w:val="nil"/>
              <w:right w:val="nil"/>
            </w:tcBorders>
            <w:tcMar>
              <w:top w:w="0" w:type="dxa"/>
              <w:left w:w="0" w:type="dxa"/>
              <w:bottom w:w="0" w:type="dxa"/>
              <w:right w:w="53" w:type="dxa"/>
            </w:tcMar>
            <w:vAlign w:val="center"/>
          </w:tcPr>
          <w:p w14:paraId="239C3990"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3B590841" w14:textId="77777777" w:rsidR="0008228C" w:rsidRDefault="0008228C">
            <w:pPr>
              <w:keepNext/>
            </w:pPr>
          </w:p>
        </w:tc>
        <w:tc>
          <w:tcPr>
            <w:tcW w:w="1305" w:type="dxa"/>
            <w:tcBorders>
              <w:top w:val="nil"/>
              <w:left w:val="nil"/>
              <w:bottom w:val="nil"/>
              <w:right w:val="nil"/>
            </w:tcBorders>
            <w:tcMar>
              <w:top w:w="0" w:type="dxa"/>
              <w:left w:w="0" w:type="dxa"/>
              <w:bottom w:w="0" w:type="dxa"/>
              <w:right w:w="53" w:type="dxa"/>
            </w:tcMar>
            <w:vAlign w:val="center"/>
          </w:tcPr>
          <w:p w14:paraId="619E6F44"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161F72C0"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4F81EA91" w14:textId="77777777" w:rsidR="0008228C" w:rsidRDefault="0008228C">
            <w:pPr>
              <w:keepNext/>
              <w:spacing w:line="300" w:lineRule="auto"/>
              <w:jc w:val="right"/>
            </w:pPr>
          </w:p>
        </w:tc>
      </w:tr>
      <w:tr w:rsidR="0008228C" w14:paraId="5F2D9416" w14:textId="77777777">
        <w:trPr>
          <w:cantSplit/>
          <w:trHeight w:hRule="exact" w:val="240"/>
        </w:trPr>
        <w:tc>
          <w:tcPr>
            <w:tcW w:w="3600" w:type="dxa"/>
            <w:tcBorders>
              <w:top w:val="nil"/>
              <w:left w:val="nil"/>
              <w:bottom w:val="nil"/>
              <w:right w:val="nil"/>
            </w:tcBorders>
            <w:tcMar>
              <w:top w:w="0" w:type="dxa"/>
              <w:left w:w="53" w:type="dxa"/>
              <w:bottom w:w="0" w:type="dxa"/>
              <w:right w:w="53" w:type="dxa"/>
            </w:tcMar>
            <w:vAlign w:val="center"/>
          </w:tcPr>
          <w:p w14:paraId="08CC50B4" w14:textId="77777777" w:rsidR="0008228C" w:rsidRDefault="00193375">
            <w:pPr>
              <w:keepNext/>
              <w:spacing w:line="300" w:lineRule="auto"/>
            </w:pPr>
            <w:r>
              <w:rPr>
                <w:b/>
                <w:color w:val="000000"/>
                <w:sz w:val="16"/>
              </w:rPr>
              <w:t>END OF PERIOD BALANCES</w:t>
            </w:r>
          </w:p>
        </w:tc>
        <w:tc>
          <w:tcPr>
            <w:tcW w:w="1305" w:type="dxa"/>
            <w:tcBorders>
              <w:top w:val="nil"/>
              <w:left w:val="nil"/>
              <w:bottom w:val="nil"/>
              <w:right w:val="nil"/>
            </w:tcBorders>
            <w:tcMar>
              <w:top w:w="0" w:type="dxa"/>
              <w:left w:w="0" w:type="dxa"/>
              <w:bottom w:w="0" w:type="dxa"/>
              <w:right w:w="53" w:type="dxa"/>
            </w:tcMar>
            <w:vAlign w:val="center"/>
          </w:tcPr>
          <w:p w14:paraId="2140AF9B"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499D9936" w14:textId="77777777" w:rsidR="0008228C" w:rsidRDefault="0008228C">
            <w:pPr>
              <w:keepNext/>
            </w:pPr>
          </w:p>
        </w:tc>
        <w:tc>
          <w:tcPr>
            <w:tcW w:w="1305" w:type="dxa"/>
            <w:tcBorders>
              <w:top w:val="nil"/>
              <w:left w:val="nil"/>
              <w:bottom w:val="nil"/>
              <w:right w:val="nil"/>
            </w:tcBorders>
            <w:tcMar>
              <w:top w:w="0" w:type="dxa"/>
              <w:left w:w="0" w:type="dxa"/>
              <w:bottom w:w="0" w:type="dxa"/>
              <w:right w:w="53" w:type="dxa"/>
            </w:tcMar>
            <w:vAlign w:val="center"/>
          </w:tcPr>
          <w:p w14:paraId="3E0B8688" w14:textId="77777777" w:rsidR="0008228C" w:rsidRDefault="0008228C">
            <w:pPr>
              <w:keepNext/>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5B34E80C"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17B6E9A1" w14:textId="77777777" w:rsidR="0008228C" w:rsidRDefault="0008228C">
            <w:pPr>
              <w:keepNext/>
              <w:spacing w:line="300" w:lineRule="auto"/>
              <w:jc w:val="right"/>
            </w:pPr>
          </w:p>
        </w:tc>
      </w:tr>
      <w:tr w:rsidR="0008228C" w14:paraId="664AB033"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7296FE95" w14:textId="77777777" w:rsidR="0008228C" w:rsidRDefault="00193375">
            <w:pPr>
              <w:keepNext/>
              <w:spacing w:line="300" w:lineRule="auto"/>
              <w:ind w:left="180"/>
            </w:pPr>
            <w:r>
              <w:rPr>
                <w:color w:val="000000"/>
                <w:sz w:val="16"/>
              </w:rPr>
              <w:t>Total loans</w:t>
            </w:r>
          </w:p>
        </w:tc>
        <w:tc>
          <w:tcPr>
            <w:tcW w:w="1305" w:type="dxa"/>
            <w:tcBorders>
              <w:top w:val="nil"/>
              <w:left w:val="nil"/>
              <w:bottom w:val="nil"/>
              <w:right w:val="nil"/>
            </w:tcBorders>
            <w:tcMar>
              <w:top w:w="0" w:type="dxa"/>
              <w:left w:w="0" w:type="dxa"/>
              <w:bottom w:w="0" w:type="dxa"/>
              <w:right w:w="15" w:type="dxa"/>
            </w:tcMar>
            <w:vAlign w:val="center"/>
          </w:tcPr>
          <w:p w14:paraId="25B19E3B" w14:textId="77777777" w:rsidR="0008228C" w:rsidRDefault="00193375">
            <w:pPr>
              <w:keepNext/>
              <w:tabs>
                <w:tab w:val="left" w:pos="396"/>
                <w:tab w:val="left" w:pos="1237"/>
              </w:tabs>
              <w:spacing w:line="300" w:lineRule="auto"/>
              <w:jc w:val="right"/>
            </w:pPr>
            <w:r>
              <w:rPr>
                <w:color w:val="000000"/>
                <w:sz w:val="16"/>
              </w:rPr>
              <w:t>$</w:t>
            </w:r>
            <w:r>
              <w:rPr>
                <w:color w:val="000000"/>
                <w:sz w:val="16"/>
              </w:rPr>
              <w:tab/>
              <w:t>1,629,861</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2A0FF9E7"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41F2DCCC" w14:textId="77777777" w:rsidR="0008228C" w:rsidRDefault="00193375">
            <w:pPr>
              <w:keepNext/>
              <w:tabs>
                <w:tab w:val="left" w:pos="35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1,504,748</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1D0D5BB3"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2483907C" w14:textId="77777777" w:rsidR="0008228C" w:rsidRDefault="00193375">
            <w:pPr>
              <w:keepNext/>
              <w:tabs>
                <w:tab w:val="left" w:pos="35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1,416,380</w:t>
            </w:r>
            <w:r>
              <w:rPr>
                <w:rFonts w:ascii="Cambria" w:eastAsia="Cambria" w:hAnsi="Cambria" w:cs="Cambria"/>
                <w:color w:val="000000"/>
                <w:sz w:val="16"/>
              </w:rPr>
              <w:tab/>
            </w:r>
          </w:p>
        </w:tc>
      </w:tr>
      <w:tr w:rsidR="0008228C" w14:paraId="23797E1A"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5A56757C" w14:textId="77777777" w:rsidR="0008228C" w:rsidRDefault="00193375">
            <w:pPr>
              <w:keepNext/>
              <w:spacing w:line="300" w:lineRule="auto"/>
              <w:ind w:left="180"/>
            </w:pPr>
            <w:r>
              <w:rPr>
                <w:color w:val="000000"/>
                <w:sz w:val="16"/>
              </w:rPr>
              <w:t>Total assets</w:t>
            </w:r>
          </w:p>
        </w:tc>
        <w:tc>
          <w:tcPr>
            <w:tcW w:w="1305" w:type="dxa"/>
            <w:tcBorders>
              <w:top w:val="nil"/>
              <w:left w:val="nil"/>
              <w:bottom w:val="nil"/>
              <w:right w:val="nil"/>
            </w:tcBorders>
            <w:tcMar>
              <w:top w:w="0" w:type="dxa"/>
              <w:left w:w="0" w:type="dxa"/>
              <w:bottom w:w="0" w:type="dxa"/>
              <w:right w:w="15" w:type="dxa"/>
            </w:tcMar>
            <w:vAlign w:val="center"/>
          </w:tcPr>
          <w:p w14:paraId="41E5F189" w14:textId="77777777" w:rsidR="0008228C" w:rsidRDefault="00193375">
            <w:pPr>
              <w:keepNext/>
              <w:tabs>
                <w:tab w:val="left" w:pos="396"/>
                <w:tab w:val="left" w:pos="1237"/>
              </w:tabs>
              <w:spacing w:line="300" w:lineRule="auto"/>
              <w:jc w:val="right"/>
            </w:pPr>
            <w:r>
              <w:rPr>
                <w:color w:val="000000"/>
                <w:sz w:val="16"/>
              </w:rPr>
              <w:t>$</w:t>
            </w:r>
            <w:r>
              <w:rPr>
                <w:color w:val="000000"/>
                <w:sz w:val="16"/>
              </w:rPr>
              <w:tab/>
              <w:t>2,297,856</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2D6FE64B"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38E296B3" w14:textId="77777777" w:rsidR="0008228C" w:rsidRDefault="00193375">
            <w:pPr>
              <w:keepNext/>
              <w:tabs>
                <w:tab w:val="left" w:pos="35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2,259,866</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67BC277E"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3843FE24" w14:textId="77777777" w:rsidR="0008228C" w:rsidRDefault="00193375">
            <w:pPr>
              <w:keepNext/>
              <w:tabs>
                <w:tab w:val="left" w:pos="35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1,673,169</w:t>
            </w:r>
            <w:r>
              <w:rPr>
                <w:rFonts w:ascii="Cambria" w:eastAsia="Cambria" w:hAnsi="Cambria" w:cs="Cambria"/>
                <w:color w:val="000000"/>
                <w:sz w:val="16"/>
              </w:rPr>
              <w:tab/>
            </w:r>
          </w:p>
        </w:tc>
      </w:tr>
      <w:tr w:rsidR="0008228C" w14:paraId="302671E3"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06E768D1" w14:textId="77777777" w:rsidR="0008228C" w:rsidRDefault="00193375">
            <w:pPr>
              <w:keepNext/>
              <w:spacing w:line="300" w:lineRule="auto"/>
              <w:ind w:left="180"/>
            </w:pPr>
            <w:r>
              <w:rPr>
                <w:color w:val="000000"/>
                <w:sz w:val="16"/>
              </w:rPr>
              <w:t>Deposits</w:t>
            </w:r>
          </w:p>
        </w:tc>
        <w:tc>
          <w:tcPr>
            <w:tcW w:w="1305" w:type="dxa"/>
            <w:tcBorders>
              <w:top w:val="nil"/>
              <w:left w:val="nil"/>
              <w:bottom w:val="nil"/>
              <w:right w:val="nil"/>
            </w:tcBorders>
            <w:tcMar>
              <w:top w:w="0" w:type="dxa"/>
              <w:left w:w="0" w:type="dxa"/>
              <w:bottom w:w="0" w:type="dxa"/>
              <w:right w:w="15" w:type="dxa"/>
            </w:tcMar>
            <w:vAlign w:val="center"/>
          </w:tcPr>
          <w:p w14:paraId="76ACC455" w14:textId="77777777" w:rsidR="0008228C" w:rsidRDefault="00193375">
            <w:pPr>
              <w:keepNext/>
              <w:tabs>
                <w:tab w:val="left" w:pos="396"/>
                <w:tab w:val="left" w:pos="1237"/>
              </w:tabs>
              <w:spacing w:line="300" w:lineRule="auto"/>
              <w:jc w:val="right"/>
            </w:pPr>
            <w:r>
              <w:rPr>
                <w:color w:val="000000"/>
                <w:sz w:val="16"/>
              </w:rPr>
              <w:t>$</w:t>
            </w:r>
            <w:r>
              <w:rPr>
                <w:color w:val="000000"/>
                <w:sz w:val="16"/>
              </w:rPr>
              <w:tab/>
              <w:t>2,012,918</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CF4E9BD"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3AB7D10D" w14:textId="77777777" w:rsidR="0008228C" w:rsidRDefault="00193375">
            <w:pPr>
              <w:keepNext/>
              <w:tabs>
                <w:tab w:val="left" w:pos="35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1,973,098</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38DBADF3"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5EAD0F07" w14:textId="77777777" w:rsidR="0008228C" w:rsidRDefault="00193375">
            <w:pPr>
              <w:keepNext/>
              <w:tabs>
                <w:tab w:val="left" w:pos="351"/>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1,453,374</w:t>
            </w:r>
            <w:r>
              <w:rPr>
                <w:rFonts w:ascii="Cambria" w:eastAsia="Cambria" w:hAnsi="Cambria" w:cs="Cambria"/>
                <w:color w:val="000000"/>
                <w:sz w:val="16"/>
              </w:rPr>
              <w:tab/>
            </w:r>
          </w:p>
        </w:tc>
      </w:tr>
      <w:tr w:rsidR="0008228C" w14:paraId="66B0A24C"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4DEBCBFC" w14:textId="77777777" w:rsidR="0008228C" w:rsidRDefault="00193375">
            <w:pPr>
              <w:keepNext/>
              <w:spacing w:line="300" w:lineRule="auto"/>
              <w:ind w:left="180"/>
            </w:pPr>
            <w:r>
              <w:rPr>
                <w:color w:val="000000"/>
                <w:sz w:val="16"/>
              </w:rPr>
              <w:t>Loans to deposits</w:t>
            </w:r>
          </w:p>
        </w:tc>
        <w:tc>
          <w:tcPr>
            <w:tcW w:w="1305" w:type="dxa"/>
            <w:tcBorders>
              <w:top w:val="nil"/>
              <w:left w:val="nil"/>
              <w:bottom w:val="nil"/>
              <w:right w:val="nil"/>
            </w:tcBorders>
            <w:tcMar>
              <w:top w:w="0" w:type="dxa"/>
              <w:left w:w="0" w:type="dxa"/>
              <w:bottom w:w="0" w:type="dxa"/>
              <w:right w:w="15" w:type="dxa"/>
            </w:tcMar>
            <w:vAlign w:val="center"/>
          </w:tcPr>
          <w:p w14:paraId="69FD5710" w14:textId="77777777" w:rsidR="0008228C" w:rsidRDefault="00193375">
            <w:pPr>
              <w:keepNext/>
              <w:tabs>
                <w:tab w:val="left" w:pos="1"/>
                <w:tab w:val="left" w:pos="353"/>
              </w:tabs>
              <w:spacing w:line="300" w:lineRule="auto"/>
              <w:jc w:val="right"/>
            </w:pPr>
            <w:r>
              <w:rPr>
                <w:color w:val="000000"/>
                <w:sz w:val="16"/>
              </w:rPr>
              <w:tab/>
              <w:t>81.0</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3701FCD2"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center"/>
          </w:tcPr>
          <w:p w14:paraId="624CCF5E"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76.3</w:t>
            </w:r>
            <w:r>
              <w:rPr>
                <w:rFonts w:ascii="Cambria" w:eastAsia="Cambria" w:hAnsi="Cambria" w:cs="Cambria"/>
                <w:color w:val="000000"/>
                <w:sz w:val="16"/>
              </w:rPr>
              <w:tab/>
              <w:t>%</w:t>
            </w:r>
          </w:p>
        </w:tc>
        <w:tc>
          <w:tcPr>
            <w:tcW w:w="60" w:type="dxa"/>
            <w:tcBorders>
              <w:top w:val="nil"/>
              <w:left w:val="nil"/>
              <w:bottom w:val="nil"/>
              <w:right w:val="nil"/>
            </w:tcBorders>
            <w:tcMar>
              <w:top w:w="0" w:type="dxa"/>
              <w:left w:w="0" w:type="dxa"/>
              <w:bottom w:w="0" w:type="dxa"/>
              <w:right w:w="15" w:type="dxa"/>
            </w:tcMar>
            <w:vAlign w:val="center"/>
          </w:tcPr>
          <w:p w14:paraId="37BC2323" w14:textId="77777777" w:rsidR="0008228C" w:rsidRDefault="0008228C">
            <w:pPr>
              <w:keepNext/>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479CD553" w14:textId="77777777" w:rsidR="0008228C" w:rsidRDefault="00193375">
            <w:pPr>
              <w:keepNext/>
              <w:tabs>
                <w:tab w:val="left" w:pos="1"/>
                <w:tab w:val="left" w:pos="362"/>
              </w:tabs>
              <w:spacing w:line="300" w:lineRule="auto"/>
              <w:jc w:val="right"/>
            </w:pPr>
            <w:r>
              <w:rPr>
                <w:rFonts w:ascii="Cambria" w:eastAsia="Cambria" w:hAnsi="Cambria" w:cs="Cambria"/>
                <w:color w:val="000000"/>
                <w:sz w:val="16"/>
              </w:rPr>
              <w:tab/>
              <w:t>97.5</w:t>
            </w:r>
            <w:r>
              <w:rPr>
                <w:rFonts w:ascii="Cambria" w:eastAsia="Cambria" w:hAnsi="Cambria" w:cs="Cambria"/>
                <w:color w:val="000000"/>
                <w:sz w:val="16"/>
              </w:rPr>
              <w:tab/>
              <w:t>%</w:t>
            </w:r>
          </w:p>
        </w:tc>
      </w:tr>
      <w:tr w:rsidR="0008228C" w14:paraId="75183B29" w14:textId="77777777">
        <w:trPr>
          <w:cantSplit/>
          <w:trHeight w:hRule="exact" w:val="255"/>
        </w:trPr>
        <w:tc>
          <w:tcPr>
            <w:tcW w:w="3600" w:type="dxa"/>
            <w:tcBorders>
              <w:top w:val="nil"/>
              <w:left w:val="nil"/>
              <w:bottom w:val="nil"/>
              <w:right w:val="nil"/>
            </w:tcBorders>
            <w:tcMar>
              <w:top w:w="0" w:type="dxa"/>
              <w:left w:w="53" w:type="dxa"/>
              <w:bottom w:w="0" w:type="dxa"/>
              <w:right w:w="53" w:type="dxa"/>
            </w:tcMar>
            <w:vAlign w:val="center"/>
          </w:tcPr>
          <w:p w14:paraId="214F32F3" w14:textId="77777777" w:rsidR="0008228C" w:rsidRDefault="00193375">
            <w:pPr>
              <w:spacing w:line="300" w:lineRule="auto"/>
              <w:ind w:left="180"/>
            </w:pPr>
            <w:r>
              <w:rPr>
                <w:color w:val="000000"/>
                <w:sz w:val="16"/>
              </w:rPr>
              <w:t>Shareholders' equity</w:t>
            </w:r>
          </w:p>
        </w:tc>
        <w:tc>
          <w:tcPr>
            <w:tcW w:w="1305" w:type="dxa"/>
            <w:tcBorders>
              <w:top w:val="nil"/>
              <w:left w:val="nil"/>
              <w:bottom w:val="nil"/>
              <w:right w:val="nil"/>
            </w:tcBorders>
            <w:tcMar>
              <w:top w:w="0" w:type="dxa"/>
              <w:left w:w="0" w:type="dxa"/>
              <w:bottom w:w="0" w:type="dxa"/>
              <w:right w:w="15" w:type="dxa"/>
            </w:tcMar>
            <w:vAlign w:val="center"/>
          </w:tcPr>
          <w:p w14:paraId="766258FC" w14:textId="77777777" w:rsidR="0008228C" w:rsidRDefault="00193375">
            <w:pPr>
              <w:tabs>
                <w:tab w:val="left" w:pos="516"/>
                <w:tab w:val="left" w:pos="1237"/>
              </w:tabs>
              <w:spacing w:line="300" w:lineRule="auto"/>
              <w:jc w:val="right"/>
            </w:pPr>
            <w:r>
              <w:rPr>
                <w:color w:val="000000"/>
                <w:sz w:val="16"/>
              </w:rPr>
              <w:t>$</w:t>
            </w:r>
            <w:r>
              <w:rPr>
                <w:color w:val="000000"/>
                <w:sz w:val="16"/>
              </w:rPr>
              <w:tab/>
              <w:t>246,761</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35FCAB0B" w14:textId="77777777" w:rsidR="0008228C" w:rsidRDefault="0008228C"/>
        </w:tc>
        <w:tc>
          <w:tcPr>
            <w:tcW w:w="1305" w:type="dxa"/>
            <w:tcBorders>
              <w:top w:val="nil"/>
              <w:left w:val="nil"/>
              <w:bottom w:val="nil"/>
              <w:right w:val="nil"/>
            </w:tcBorders>
            <w:tcMar>
              <w:top w:w="0" w:type="dxa"/>
              <w:left w:w="0" w:type="dxa"/>
              <w:bottom w:w="0" w:type="dxa"/>
              <w:right w:w="15" w:type="dxa"/>
            </w:tcMar>
            <w:vAlign w:val="center"/>
          </w:tcPr>
          <w:p w14:paraId="393A8343" w14:textId="77777777" w:rsidR="0008228C" w:rsidRDefault="00193375">
            <w:pPr>
              <w:tabs>
                <w:tab w:val="left" w:pos="472"/>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246,528</w:t>
            </w:r>
            <w:r>
              <w:rPr>
                <w:rFonts w:ascii="Cambria" w:eastAsia="Cambria" w:hAnsi="Cambria" w:cs="Cambria"/>
                <w:color w:val="000000"/>
                <w:sz w:val="16"/>
              </w:rPr>
              <w:tab/>
            </w:r>
          </w:p>
        </w:tc>
        <w:tc>
          <w:tcPr>
            <w:tcW w:w="60" w:type="dxa"/>
            <w:tcBorders>
              <w:top w:val="nil"/>
              <w:left w:val="nil"/>
              <w:bottom w:val="nil"/>
              <w:right w:val="nil"/>
            </w:tcBorders>
            <w:tcMar>
              <w:top w:w="0" w:type="dxa"/>
              <w:left w:w="0" w:type="dxa"/>
              <w:bottom w:w="0" w:type="dxa"/>
              <w:right w:w="15" w:type="dxa"/>
            </w:tcMar>
            <w:vAlign w:val="center"/>
          </w:tcPr>
          <w:p w14:paraId="14CA7902" w14:textId="77777777" w:rsidR="0008228C" w:rsidRDefault="0008228C">
            <w:pPr>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36910922" w14:textId="77777777" w:rsidR="0008228C" w:rsidRDefault="00193375">
            <w:pPr>
              <w:tabs>
                <w:tab w:val="left" w:pos="472"/>
                <w:tab w:val="left" w:pos="1237"/>
              </w:tabs>
              <w:spacing w:line="300" w:lineRule="auto"/>
              <w:jc w:val="right"/>
            </w:pPr>
            <w:r>
              <w:rPr>
                <w:rFonts w:ascii="Cambria" w:eastAsia="Cambria" w:hAnsi="Cambria" w:cs="Cambria"/>
                <w:color w:val="000000"/>
                <w:sz w:val="16"/>
              </w:rPr>
              <w:t>$</w:t>
            </w:r>
            <w:r>
              <w:rPr>
                <w:rFonts w:ascii="Cambria" w:eastAsia="Cambria" w:hAnsi="Cambria" w:cs="Cambria"/>
                <w:color w:val="000000"/>
                <w:sz w:val="16"/>
              </w:rPr>
              <w:tab/>
              <w:t>171,066</w:t>
            </w:r>
            <w:r>
              <w:rPr>
                <w:rFonts w:ascii="Cambria" w:eastAsia="Cambria" w:hAnsi="Cambria" w:cs="Cambria"/>
                <w:color w:val="000000"/>
                <w:sz w:val="16"/>
              </w:rPr>
              <w:tab/>
            </w:r>
          </w:p>
        </w:tc>
      </w:tr>
    </w:tbl>
    <w:p w14:paraId="3DA27D9E" w14:textId="77777777" w:rsidR="0008228C" w:rsidRDefault="0008228C">
      <w:pPr>
        <w:spacing w:before="2" w:after="2" w:line="288" w:lineRule="auto"/>
        <w:rPr>
          <w:rFonts w:ascii="Calibri" w:eastAsia="Calibri" w:hAnsi="Calibri" w:cs="Calibri"/>
          <w:sz w:val="22"/>
        </w:rPr>
      </w:pPr>
    </w:p>
    <w:p w14:paraId="1DB9FBA1" w14:textId="77777777" w:rsidR="0008228C" w:rsidRDefault="00193375">
      <w:pPr>
        <w:spacing w:after="2" w:line="300" w:lineRule="auto"/>
        <w:rPr>
          <w:rFonts w:ascii="Calibri" w:eastAsia="Calibri" w:hAnsi="Calibri" w:cs="Calibri"/>
          <w:sz w:val="22"/>
        </w:rPr>
      </w:pPr>
      <w:r>
        <w:rPr>
          <w:i/>
          <w:sz w:val="16"/>
        </w:rPr>
        <w:t xml:space="preserve">   (1) Non-GAAP measure. See – GAAP to Non-GAAP reconciliation</w:t>
      </w:r>
      <w:r>
        <w:rPr>
          <w:sz w:val="16"/>
        </w:rPr>
        <w:t>.</w:t>
      </w:r>
    </w:p>
    <w:p w14:paraId="02F7122E" w14:textId="77777777" w:rsidR="0008228C" w:rsidRDefault="0008228C">
      <w:pPr>
        <w:spacing w:after="2" w:line="300" w:lineRule="auto"/>
        <w:rPr>
          <w:rFonts w:ascii="Calibri" w:eastAsia="Calibri" w:hAnsi="Calibri" w:cs="Calibri"/>
          <w:sz w:val="22"/>
        </w:rPr>
        <w:sectPr w:rsidR="0008228C">
          <w:pgSz w:w="12240" w:h="15840"/>
          <w:pgMar w:top="835" w:right="720" w:bottom="1238" w:left="720" w:header="560" w:footer="720" w:gutter="0"/>
          <w:cols w:space="708"/>
        </w:sectPr>
      </w:pPr>
    </w:p>
    <w:p w14:paraId="5B811526" w14:textId="77777777" w:rsidR="0008228C" w:rsidRDefault="00193375">
      <w:pPr>
        <w:spacing w:after="2" w:line="300" w:lineRule="auto"/>
        <w:outlineLvl w:val="0"/>
        <w:rPr>
          <w:rFonts w:ascii="Calibri" w:eastAsia="Calibri" w:hAnsi="Calibri" w:cs="Calibri"/>
          <w:sz w:val="22"/>
        </w:rPr>
      </w:pPr>
      <w:bookmarkStart w:id="2" w:name="Section3"/>
      <w:bookmarkEnd w:id="2"/>
      <w:r>
        <w:rPr>
          <w:rFonts w:ascii="Cambria" w:eastAsia="Cambria" w:hAnsi="Cambria" w:cs="Cambria"/>
          <w:b/>
          <w:color w:val="005CAB"/>
        </w:rPr>
        <w:lastRenderedPageBreak/>
        <w:t>Southern California</w:t>
      </w:r>
      <w:r>
        <w:rPr>
          <w:rFonts w:ascii="Cambria" w:eastAsia="Cambria" w:hAnsi="Cambria" w:cs="Cambria"/>
          <w:b/>
        </w:rPr>
        <w:t xml:space="preserve"> </w:t>
      </w:r>
      <w:r>
        <w:rPr>
          <w:rFonts w:ascii="Cambria" w:eastAsia="Cambria" w:hAnsi="Cambria" w:cs="Cambria"/>
          <w:b/>
          <w:color w:val="F47B20"/>
        </w:rPr>
        <w:t>Bancorp and Subsidiary</w:t>
      </w:r>
    </w:p>
    <w:p w14:paraId="0215339E" w14:textId="77777777" w:rsidR="0008228C" w:rsidRDefault="00193375">
      <w:pPr>
        <w:spacing w:after="2" w:line="288" w:lineRule="auto"/>
        <w:ind w:right="55"/>
        <w:rPr>
          <w:sz w:val="20"/>
        </w:rPr>
      </w:pPr>
      <w:r>
        <w:rPr>
          <w:sz w:val="20"/>
        </w:rPr>
        <w:t>Balance Sheets</w:t>
      </w:r>
    </w:p>
    <w:p w14:paraId="0269F298" w14:textId="77777777" w:rsidR="0008228C" w:rsidRDefault="00193375">
      <w:pPr>
        <w:spacing w:after="2" w:line="288" w:lineRule="auto"/>
        <w:ind w:right="55"/>
        <w:rPr>
          <w:sz w:val="16"/>
        </w:rPr>
      </w:pPr>
      <w:r>
        <w:rPr>
          <w:sz w:val="16"/>
        </w:rPr>
        <w:t>(Unaudited)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1903"/>
        <w:gridCol w:w="73"/>
        <w:gridCol w:w="1903"/>
        <w:gridCol w:w="60"/>
        <w:gridCol w:w="1903"/>
      </w:tblGrid>
      <w:tr w:rsidR="0008228C" w14:paraId="65CD9A7F"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358C5B8E" w14:textId="77777777" w:rsidR="0008228C" w:rsidRDefault="00193375">
            <w:pPr>
              <w:keepNext/>
              <w:spacing w:before="53" w:after="30" w:line="300" w:lineRule="auto"/>
            </w:pPr>
            <w:r>
              <w:rPr>
                <w:color w:val="000000"/>
                <w:sz w:val="16"/>
              </w:rPr>
              <w:t>($ in thousands)</w:t>
            </w:r>
          </w:p>
        </w:tc>
        <w:tc>
          <w:tcPr>
            <w:tcW w:w="1905" w:type="dxa"/>
            <w:tcBorders>
              <w:top w:val="nil"/>
              <w:left w:val="nil"/>
              <w:bottom w:val="nil"/>
              <w:right w:val="nil"/>
            </w:tcBorders>
            <w:tcMar>
              <w:top w:w="0" w:type="dxa"/>
              <w:left w:w="53" w:type="dxa"/>
              <w:bottom w:w="0" w:type="dxa"/>
              <w:right w:w="53" w:type="dxa"/>
            </w:tcMar>
            <w:vAlign w:val="bottom"/>
          </w:tcPr>
          <w:p w14:paraId="64A1391C" w14:textId="77777777" w:rsidR="0008228C" w:rsidRDefault="00193375">
            <w:pPr>
              <w:keepNext/>
              <w:spacing w:before="53" w:after="30" w:line="300" w:lineRule="auto"/>
              <w:jc w:val="center"/>
            </w:pPr>
            <w:r>
              <w:rPr>
                <w:b/>
                <w:color w:val="000000"/>
                <w:sz w:val="16"/>
                <w:u w:val="single"/>
              </w:rPr>
              <w:t>March 31, 2022</w:t>
            </w:r>
          </w:p>
        </w:tc>
        <w:tc>
          <w:tcPr>
            <w:tcW w:w="60" w:type="dxa"/>
            <w:tcBorders>
              <w:top w:val="nil"/>
              <w:left w:val="nil"/>
              <w:bottom w:val="nil"/>
              <w:right w:val="nil"/>
            </w:tcBorders>
            <w:tcMar>
              <w:top w:w="0" w:type="dxa"/>
              <w:left w:w="0" w:type="dxa"/>
              <w:bottom w:w="0" w:type="dxa"/>
              <w:right w:w="0" w:type="dxa"/>
            </w:tcMar>
            <w:vAlign w:val="bottom"/>
          </w:tcPr>
          <w:p w14:paraId="1818DA44" w14:textId="77777777" w:rsidR="0008228C" w:rsidRDefault="0008228C">
            <w:pPr>
              <w:keepNext/>
            </w:pPr>
          </w:p>
        </w:tc>
        <w:tc>
          <w:tcPr>
            <w:tcW w:w="1905" w:type="dxa"/>
            <w:tcBorders>
              <w:top w:val="nil"/>
              <w:left w:val="nil"/>
              <w:bottom w:val="nil"/>
              <w:right w:val="nil"/>
            </w:tcBorders>
            <w:tcMar>
              <w:top w:w="0" w:type="dxa"/>
              <w:left w:w="53" w:type="dxa"/>
              <w:bottom w:w="0" w:type="dxa"/>
              <w:right w:w="53" w:type="dxa"/>
            </w:tcMar>
            <w:vAlign w:val="bottom"/>
          </w:tcPr>
          <w:p w14:paraId="0C7A162F" w14:textId="77777777" w:rsidR="0008228C" w:rsidRDefault="00193375">
            <w:pPr>
              <w:keepNext/>
              <w:spacing w:before="53" w:after="30" w:line="300" w:lineRule="auto"/>
              <w:jc w:val="center"/>
            </w:pPr>
            <w:r>
              <w:rPr>
                <w:b/>
                <w:color w:val="000000"/>
                <w:sz w:val="16"/>
                <w:u w:val="single"/>
              </w:rPr>
              <w:t>Dec 31, 2021</w:t>
            </w:r>
          </w:p>
        </w:tc>
        <w:tc>
          <w:tcPr>
            <w:tcW w:w="60" w:type="dxa"/>
            <w:tcBorders>
              <w:top w:val="nil"/>
              <w:left w:val="nil"/>
              <w:bottom w:val="nil"/>
              <w:right w:val="nil"/>
            </w:tcBorders>
            <w:tcMar>
              <w:top w:w="0" w:type="dxa"/>
              <w:left w:w="0" w:type="dxa"/>
              <w:bottom w:w="0" w:type="dxa"/>
              <w:right w:w="0" w:type="dxa"/>
            </w:tcMar>
            <w:vAlign w:val="bottom"/>
          </w:tcPr>
          <w:p w14:paraId="42B1B462" w14:textId="77777777" w:rsidR="0008228C" w:rsidRDefault="0008228C">
            <w:pPr>
              <w:keepNext/>
            </w:pPr>
          </w:p>
        </w:tc>
        <w:tc>
          <w:tcPr>
            <w:tcW w:w="1905" w:type="dxa"/>
            <w:tcBorders>
              <w:top w:val="nil"/>
              <w:left w:val="nil"/>
              <w:bottom w:val="nil"/>
              <w:right w:val="nil"/>
            </w:tcBorders>
            <w:tcMar>
              <w:top w:w="0" w:type="dxa"/>
              <w:left w:w="53" w:type="dxa"/>
              <w:bottom w:w="0" w:type="dxa"/>
              <w:right w:w="53" w:type="dxa"/>
            </w:tcMar>
            <w:vAlign w:val="bottom"/>
          </w:tcPr>
          <w:p w14:paraId="3661ECFE" w14:textId="77777777" w:rsidR="0008228C" w:rsidRDefault="00193375">
            <w:pPr>
              <w:keepNext/>
              <w:spacing w:before="53" w:after="30" w:line="300" w:lineRule="auto"/>
              <w:jc w:val="center"/>
            </w:pPr>
            <w:r>
              <w:rPr>
                <w:b/>
                <w:color w:val="000000"/>
                <w:sz w:val="16"/>
                <w:u w:val="single"/>
              </w:rPr>
              <w:t>March 31, 2021</w:t>
            </w:r>
          </w:p>
        </w:tc>
      </w:tr>
      <w:tr w:rsidR="0008228C" w14:paraId="6B1424B4"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1BACEC41" w14:textId="77777777" w:rsidR="0008228C" w:rsidRDefault="00193375">
            <w:pPr>
              <w:keepNext/>
              <w:spacing w:before="53" w:after="30" w:line="300" w:lineRule="auto"/>
            </w:pPr>
            <w:r>
              <w:rPr>
                <w:b/>
                <w:color w:val="000000"/>
                <w:sz w:val="16"/>
              </w:rPr>
              <w:t>ASSETS</w:t>
            </w:r>
          </w:p>
        </w:tc>
        <w:tc>
          <w:tcPr>
            <w:tcW w:w="1905" w:type="dxa"/>
            <w:tcBorders>
              <w:top w:val="nil"/>
              <w:left w:val="nil"/>
              <w:bottom w:val="nil"/>
              <w:right w:val="nil"/>
            </w:tcBorders>
            <w:tcMar>
              <w:top w:w="0" w:type="dxa"/>
              <w:left w:w="0" w:type="dxa"/>
              <w:bottom w:w="0" w:type="dxa"/>
              <w:right w:w="53" w:type="dxa"/>
            </w:tcMar>
            <w:vAlign w:val="bottom"/>
          </w:tcPr>
          <w:p w14:paraId="53F04597" w14:textId="77777777" w:rsidR="0008228C" w:rsidRDefault="00193375">
            <w:pPr>
              <w:keepNext/>
              <w:spacing w:before="5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43AA92BD" w14:textId="77777777" w:rsidR="0008228C" w:rsidRDefault="0008228C">
            <w:pPr>
              <w:keepNext/>
            </w:pPr>
          </w:p>
        </w:tc>
        <w:tc>
          <w:tcPr>
            <w:tcW w:w="1905" w:type="dxa"/>
            <w:tcBorders>
              <w:top w:val="nil"/>
              <w:left w:val="nil"/>
              <w:bottom w:val="nil"/>
              <w:right w:val="nil"/>
            </w:tcBorders>
            <w:tcMar>
              <w:top w:w="0" w:type="dxa"/>
              <w:left w:w="0" w:type="dxa"/>
              <w:bottom w:w="0" w:type="dxa"/>
              <w:right w:w="53" w:type="dxa"/>
            </w:tcMar>
            <w:vAlign w:val="bottom"/>
          </w:tcPr>
          <w:p w14:paraId="01CC312F" w14:textId="77777777" w:rsidR="0008228C" w:rsidRDefault="00193375">
            <w:pPr>
              <w:keepNext/>
              <w:spacing w:before="5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1187875B" w14:textId="77777777" w:rsidR="0008228C" w:rsidRDefault="0008228C">
            <w:pPr>
              <w:keepNext/>
            </w:pPr>
          </w:p>
        </w:tc>
        <w:tc>
          <w:tcPr>
            <w:tcW w:w="1905" w:type="dxa"/>
            <w:tcBorders>
              <w:top w:val="nil"/>
              <w:left w:val="nil"/>
              <w:bottom w:val="nil"/>
              <w:right w:val="nil"/>
            </w:tcBorders>
            <w:tcMar>
              <w:top w:w="0" w:type="dxa"/>
              <w:left w:w="0" w:type="dxa"/>
              <w:bottom w:w="0" w:type="dxa"/>
              <w:right w:w="0" w:type="dxa"/>
            </w:tcMar>
            <w:vAlign w:val="bottom"/>
          </w:tcPr>
          <w:p w14:paraId="17607924" w14:textId="77777777" w:rsidR="0008228C" w:rsidRDefault="0008228C">
            <w:pPr>
              <w:keepNext/>
            </w:pPr>
          </w:p>
        </w:tc>
      </w:tr>
      <w:tr w:rsidR="0008228C" w14:paraId="40B6EF92"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7ED10A4B" w14:textId="77777777" w:rsidR="0008228C" w:rsidRDefault="00193375">
            <w:pPr>
              <w:keepNext/>
              <w:spacing w:before="53" w:after="30" w:line="300" w:lineRule="auto"/>
            </w:pPr>
            <w:r>
              <w:rPr>
                <w:color w:val="000000"/>
                <w:sz w:val="16"/>
              </w:rPr>
              <w:t>Cash and due from banks</w:t>
            </w:r>
          </w:p>
        </w:tc>
        <w:tc>
          <w:tcPr>
            <w:tcW w:w="1905" w:type="dxa"/>
            <w:tcBorders>
              <w:top w:val="nil"/>
              <w:left w:val="nil"/>
              <w:bottom w:val="nil"/>
              <w:right w:val="nil"/>
            </w:tcBorders>
            <w:tcMar>
              <w:top w:w="0" w:type="dxa"/>
              <w:left w:w="0" w:type="dxa"/>
              <w:bottom w:w="0" w:type="dxa"/>
              <w:right w:w="15" w:type="dxa"/>
            </w:tcMar>
            <w:vAlign w:val="bottom"/>
          </w:tcPr>
          <w:p w14:paraId="3484D7A8" w14:textId="77777777" w:rsidR="0008228C" w:rsidRDefault="00193375">
            <w:pPr>
              <w:keepNext/>
              <w:tabs>
                <w:tab w:val="left" w:pos="1346"/>
                <w:tab w:val="left" w:pos="1837"/>
              </w:tabs>
              <w:spacing w:before="53" w:after="30" w:line="300" w:lineRule="auto"/>
              <w:jc w:val="right"/>
            </w:pPr>
            <w:r>
              <w:rPr>
                <w:color w:val="000000"/>
                <w:sz w:val="16"/>
              </w:rPr>
              <w:t>$</w:t>
            </w:r>
            <w:r>
              <w:rPr>
                <w:color w:val="000000"/>
                <w:sz w:val="16"/>
              </w:rPr>
              <w:tab/>
              <w:t>28,733</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7521DF9"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5454C068" w14:textId="77777777" w:rsidR="0008228C" w:rsidRDefault="00193375">
            <w:pPr>
              <w:keepNext/>
              <w:tabs>
                <w:tab w:val="left" w:pos="1346"/>
                <w:tab w:val="left" w:pos="1837"/>
              </w:tabs>
              <w:spacing w:before="53" w:after="30" w:line="300" w:lineRule="auto"/>
              <w:jc w:val="right"/>
            </w:pPr>
            <w:r>
              <w:rPr>
                <w:color w:val="000000"/>
                <w:sz w:val="16"/>
              </w:rPr>
              <w:t>$</w:t>
            </w:r>
            <w:r>
              <w:rPr>
                <w:color w:val="000000"/>
                <w:sz w:val="16"/>
              </w:rPr>
              <w:tab/>
              <w:t>22,435</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26645A6"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388AD26A" w14:textId="77777777" w:rsidR="0008228C" w:rsidRDefault="00193375">
            <w:pPr>
              <w:keepNext/>
              <w:tabs>
                <w:tab w:val="left" w:pos="1346"/>
                <w:tab w:val="left" w:pos="1837"/>
              </w:tabs>
              <w:spacing w:before="53" w:after="30" w:line="300" w:lineRule="auto"/>
              <w:jc w:val="right"/>
            </w:pPr>
            <w:r>
              <w:rPr>
                <w:color w:val="000000"/>
                <w:sz w:val="16"/>
              </w:rPr>
              <w:t>$</w:t>
            </w:r>
            <w:r>
              <w:rPr>
                <w:color w:val="000000"/>
                <w:sz w:val="16"/>
              </w:rPr>
              <w:tab/>
              <w:t>17,642</w:t>
            </w:r>
            <w:r>
              <w:rPr>
                <w:color w:val="000000"/>
                <w:sz w:val="16"/>
              </w:rPr>
              <w:tab/>
            </w:r>
          </w:p>
        </w:tc>
      </w:tr>
      <w:tr w:rsidR="0008228C" w14:paraId="6ECBD115"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45117D52" w14:textId="77777777" w:rsidR="0008228C" w:rsidRDefault="00193375">
            <w:pPr>
              <w:keepNext/>
              <w:spacing w:before="53" w:after="30" w:line="300" w:lineRule="auto"/>
            </w:pPr>
            <w:r>
              <w:rPr>
                <w:color w:val="000000"/>
                <w:sz w:val="16"/>
              </w:rPr>
              <w:t>Federal funds sold &amp; interest-bearing balances</w:t>
            </w:r>
          </w:p>
        </w:tc>
        <w:tc>
          <w:tcPr>
            <w:tcW w:w="1905" w:type="dxa"/>
            <w:tcBorders>
              <w:top w:val="nil"/>
              <w:left w:val="nil"/>
              <w:bottom w:val="single" w:sz="8" w:space="0" w:color="000000"/>
              <w:right w:val="nil"/>
            </w:tcBorders>
            <w:tcMar>
              <w:top w:w="0" w:type="dxa"/>
              <w:left w:w="0" w:type="dxa"/>
              <w:bottom w:w="0" w:type="dxa"/>
              <w:right w:w="15" w:type="dxa"/>
            </w:tcMar>
            <w:vAlign w:val="bottom"/>
          </w:tcPr>
          <w:p w14:paraId="4B017EFE" w14:textId="77777777" w:rsidR="0008228C" w:rsidRDefault="00193375">
            <w:pPr>
              <w:keepNext/>
              <w:tabs>
                <w:tab w:val="left" w:pos="1266"/>
                <w:tab w:val="left" w:pos="1837"/>
              </w:tabs>
              <w:spacing w:before="53" w:after="30" w:line="300" w:lineRule="auto"/>
              <w:jc w:val="right"/>
            </w:pPr>
            <w:r>
              <w:rPr>
                <w:color w:val="000000"/>
                <w:sz w:val="16"/>
              </w:rPr>
              <w:tab/>
              <w:t>377,429</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371A5B3" w14:textId="77777777" w:rsidR="0008228C" w:rsidRDefault="0008228C">
            <w:pPr>
              <w:keepNext/>
              <w:spacing w:before="53" w:after="30" w:line="300" w:lineRule="auto"/>
              <w:jc w:val="righ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09EE8C30" w14:textId="77777777" w:rsidR="0008228C" w:rsidRDefault="00193375">
            <w:pPr>
              <w:keepNext/>
              <w:tabs>
                <w:tab w:val="left" w:pos="1266"/>
                <w:tab w:val="left" w:pos="1837"/>
              </w:tabs>
              <w:spacing w:before="53" w:after="30" w:line="300" w:lineRule="auto"/>
              <w:jc w:val="right"/>
            </w:pPr>
            <w:r>
              <w:rPr>
                <w:color w:val="000000"/>
                <w:sz w:val="16"/>
              </w:rPr>
              <w:tab/>
              <w:t>557,571</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1F84BDD8" w14:textId="77777777" w:rsidR="0008228C" w:rsidRDefault="0008228C">
            <w:pPr>
              <w:keepNex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4273C7FB" w14:textId="77777777" w:rsidR="0008228C" w:rsidRDefault="00193375">
            <w:pPr>
              <w:keepNext/>
              <w:tabs>
                <w:tab w:val="left" w:pos="1266"/>
                <w:tab w:val="left" w:pos="1837"/>
              </w:tabs>
              <w:spacing w:before="53" w:after="30" w:line="300" w:lineRule="auto"/>
              <w:jc w:val="right"/>
            </w:pPr>
            <w:r>
              <w:rPr>
                <w:color w:val="000000"/>
                <w:sz w:val="16"/>
              </w:rPr>
              <w:tab/>
              <w:t>140,616</w:t>
            </w:r>
            <w:r>
              <w:rPr>
                <w:color w:val="000000"/>
                <w:sz w:val="16"/>
              </w:rPr>
              <w:tab/>
            </w:r>
          </w:p>
        </w:tc>
      </w:tr>
      <w:tr w:rsidR="0008228C" w14:paraId="7082643C"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1C20F7DC" w14:textId="77777777" w:rsidR="0008228C" w:rsidRDefault="00193375">
            <w:pPr>
              <w:keepNext/>
              <w:spacing w:before="33" w:after="30" w:line="300" w:lineRule="auto"/>
              <w:ind w:left="180"/>
            </w:pPr>
            <w:r>
              <w:rPr>
                <w:color w:val="000000"/>
                <w:sz w:val="16"/>
              </w:rPr>
              <w:t>Total cash and cash equivalents</w:t>
            </w:r>
          </w:p>
        </w:tc>
        <w:tc>
          <w:tcPr>
            <w:tcW w:w="1905" w:type="dxa"/>
            <w:tcBorders>
              <w:top w:val="single" w:sz="8" w:space="0" w:color="000000"/>
              <w:left w:val="nil"/>
              <w:bottom w:val="nil"/>
              <w:right w:val="nil"/>
            </w:tcBorders>
            <w:tcMar>
              <w:top w:w="0" w:type="dxa"/>
              <w:left w:w="0" w:type="dxa"/>
              <w:bottom w:w="0" w:type="dxa"/>
              <w:right w:w="15" w:type="dxa"/>
            </w:tcMar>
            <w:vAlign w:val="bottom"/>
          </w:tcPr>
          <w:p w14:paraId="37D175AF" w14:textId="77777777" w:rsidR="0008228C" w:rsidRDefault="00193375">
            <w:pPr>
              <w:keepNext/>
              <w:tabs>
                <w:tab w:val="left" w:pos="1266"/>
                <w:tab w:val="left" w:pos="1837"/>
              </w:tabs>
              <w:spacing w:before="33" w:after="30" w:line="300" w:lineRule="auto"/>
              <w:jc w:val="right"/>
            </w:pPr>
            <w:r>
              <w:rPr>
                <w:color w:val="000000"/>
                <w:sz w:val="16"/>
              </w:rPr>
              <w:tab/>
              <w:t>406,162</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799C8E57" w14:textId="77777777" w:rsidR="0008228C" w:rsidRDefault="0008228C">
            <w:pPr>
              <w:keepNext/>
              <w:spacing w:before="33" w:after="30" w:line="300" w:lineRule="auto"/>
              <w:jc w:val="righ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060DA2A9" w14:textId="77777777" w:rsidR="0008228C" w:rsidRDefault="00193375">
            <w:pPr>
              <w:keepNext/>
              <w:tabs>
                <w:tab w:val="left" w:pos="1266"/>
                <w:tab w:val="left" w:pos="1837"/>
              </w:tabs>
              <w:spacing w:before="33" w:after="30" w:line="300" w:lineRule="auto"/>
              <w:jc w:val="right"/>
            </w:pPr>
            <w:r>
              <w:rPr>
                <w:color w:val="000000"/>
                <w:sz w:val="16"/>
              </w:rPr>
              <w:tab/>
              <w:t>580,006</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425D508" w14:textId="77777777" w:rsidR="0008228C" w:rsidRDefault="0008228C">
            <w:pPr>
              <w:keepNex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4A6A711E" w14:textId="77777777" w:rsidR="0008228C" w:rsidRDefault="00193375">
            <w:pPr>
              <w:keepNext/>
              <w:tabs>
                <w:tab w:val="left" w:pos="1266"/>
                <w:tab w:val="left" w:pos="1837"/>
              </w:tabs>
              <w:spacing w:before="33" w:after="30" w:line="300" w:lineRule="auto"/>
              <w:jc w:val="right"/>
            </w:pPr>
            <w:r>
              <w:rPr>
                <w:color w:val="000000"/>
                <w:sz w:val="16"/>
              </w:rPr>
              <w:tab/>
              <w:t>158,258</w:t>
            </w:r>
            <w:r>
              <w:rPr>
                <w:color w:val="000000"/>
                <w:sz w:val="16"/>
              </w:rPr>
              <w:tab/>
            </w:r>
          </w:p>
        </w:tc>
      </w:tr>
      <w:tr w:rsidR="0008228C" w14:paraId="2FB37CAB" w14:textId="77777777">
        <w:trPr>
          <w:cantSplit/>
          <w:trHeight w:hRule="exact" w:val="240"/>
        </w:trPr>
        <w:tc>
          <w:tcPr>
            <w:tcW w:w="4965" w:type="dxa"/>
            <w:tcBorders>
              <w:top w:val="nil"/>
              <w:left w:val="nil"/>
              <w:bottom w:val="nil"/>
              <w:right w:val="nil"/>
            </w:tcBorders>
            <w:tcMar>
              <w:top w:w="0" w:type="dxa"/>
              <w:left w:w="53" w:type="dxa"/>
              <w:bottom w:w="0" w:type="dxa"/>
              <w:right w:w="53" w:type="dxa"/>
            </w:tcMar>
            <w:vAlign w:val="bottom"/>
          </w:tcPr>
          <w:p w14:paraId="554C57EB" w14:textId="77777777" w:rsidR="0008228C" w:rsidRDefault="00193375">
            <w:pPr>
              <w:keepNext/>
              <w:spacing w:before="53" w:after="30" w:line="300" w:lineRule="auto"/>
            </w:pPr>
            <w:r>
              <w:rPr>
                <w:color w:val="000000"/>
                <w:sz w:val="16"/>
              </w:rPr>
              <w:t> </w:t>
            </w:r>
          </w:p>
        </w:tc>
        <w:tc>
          <w:tcPr>
            <w:tcW w:w="1905" w:type="dxa"/>
            <w:tcBorders>
              <w:top w:val="nil"/>
              <w:left w:val="nil"/>
              <w:bottom w:val="nil"/>
              <w:right w:val="nil"/>
            </w:tcBorders>
            <w:tcMar>
              <w:top w:w="0" w:type="dxa"/>
              <w:left w:w="0" w:type="dxa"/>
              <w:bottom w:w="0" w:type="dxa"/>
              <w:right w:w="15" w:type="dxa"/>
            </w:tcMar>
            <w:vAlign w:val="bottom"/>
          </w:tcPr>
          <w:p w14:paraId="6CD5B19A" w14:textId="77777777" w:rsidR="0008228C" w:rsidRDefault="00193375">
            <w:pPr>
              <w:keepNext/>
              <w:spacing w:before="5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5D0B5BFA"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17D4698D" w14:textId="77777777" w:rsidR="0008228C" w:rsidRDefault="00193375">
            <w:pPr>
              <w:keepNext/>
              <w:spacing w:before="5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4AE216FF" w14:textId="77777777" w:rsidR="0008228C" w:rsidRDefault="0008228C">
            <w:pPr>
              <w:keepNext/>
            </w:pPr>
          </w:p>
        </w:tc>
        <w:tc>
          <w:tcPr>
            <w:tcW w:w="1905" w:type="dxa"/>
            <w:tcBorders>
              <w:top w:val="nil"/>
              <w:left w:val="nil"/>
              <w:bottom w:val="nil"/>
              <w:right w:val="nil"/>
            </w:tcBorders>
            <w:tcMar>
              <w:top w:w="0" w:type="dxa"/>
              <w:left w:w="0" w:type="dxa"/>
              <w:bottom w:w="0" w:type="dxa"/>
              <w:right w:w="53" w:type="dxa"/>
            </w:tcMar>
            <w:vAlign w:val="bottom"/>
          </w:tcPr>
          <w:p w14:paraId="5E990722" w14:textId="77777777" w:rsidR="0008228C" w:rsidRDefault="0008228C">
            <w:pPr>
              <w:keepNext/>
              <w:spacing w:before="53" w:after="30" w:line="300" w:lineRule="auto"/>
              <w:jc w:val="right"/>
            </w:pPr>
          </w:p>
        </w:tc>
      </w:tr>
      <w:tr w:rsidR="0008228C" w14:paraId="0B60B6D6"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13C27362" w14:textId="77777777" w:rsidR="0008228C" w:rsidRDefault="00193375">
            <w:pPr>
              <w:keepNext/>
              <w:spacing w:before="53" w:after="30" w:line="300" w:lineRule="auto"/>
            </w:pPr>
            <w:r>
              <w:rPr>
                <w:color w:val="000000"/>
                <w:sz w:val="16"/>
              </w:rPr>
              <w:t>Debt securities</w:t>
            </w:r>
          </w:p>
        </w:tc>
        <w:tc>
          <w:tcPr>
            <w:tcW w:w="1905" w:type="dxa"/>
            <w:tcBorders>
              <w:top w:val="nil"/>
              <w:left w:val="nil"/>
              <w:bottom w:val="nil"/>
              <w:right w:val="nil"/>
            </w:tcBorders>
            <w:tcMar>
              <w:top w:w="0" w:type="dxa"/>
              <w:left w:w="0" w:type="dxa"/>
              <w:bottom w:w="0" w:type="dxa"/>
              <w:right w:w="15" w:type="dxa"/>
            </w:tcMar>
            <w:vAlign w:val="bottom"/>
          </w:tcPr>
          <w:p w14:paraId="25D1201D" w14:textId="77777777" w:rsidR="0008228C" w:rsidRDefault="00193375">
            <w:pPr>
              <w:keepNext/>
              <w:tabs>
                <w:tab w:val="left" w:pos="1266"/>
                <w:tab w:val="left" w:pos="1837"/>
              </w:tabs>
              <w:spacing w:before="53" w:after="30" w:line="300" w:lineRule="auto"/>
              <w:jc w:val="right"/>
            </w:pPr>
            <w:r>
              <w:rPr>
                <w:color w:val="000000"/>
                <w:sz w:val="16"/>
              </w:rPr>
              <w:tab/>
              <w:t>139,424</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2C9C423"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7176571E" w14:textId="77777777" w:rsidR="0008228C" w:rsidRDefault="00193375">
            <w:pPr>
              <w:keepNext/>
              <w:tabs>
                <w:tab w:val="left" w:pos="1346"/>
                <w:tab w:val="left" w:pos="1837"/>
              </w:tabs>
              <w:spacing w:before="53" w:after="30" w:line="300" w:lineRule="auto"/>
              <w:jc w:val="right"/>
            </w:pPr>
            <w:r>
              <w:rPr>
                <w:color w:val="000000"/>
                <w:sz w:val="16"/>
              </w:rPr>
              <w:tab/>
              <w:t>55,567</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63F90305"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62F5D106" w14:textId="77777777" w:rsidR="0008228C" w:rsidRDefault="00193375">
            <w:pPr>
              <w:keepNext/>
              <w:tabs>
                <w:tab w:val="left" w:pos="1346"/>
                <w:tab w:val="left" w:pos="1837"/>
              </w:tabs>
              <w:spacing w:before="53" w:after="30" w:line="300" w:lineRule="auto"/>
              <w:jc w:val="right"/>
            </w:pPr>
            <w:r>
              <w:rPr>
                <w:color w:val="000000"/>
                <w:sz w:val="16"/>
              </w:rPr>
              <w:tab/>
              <w:t>24,249</w:t>
            </w:r>
            <w:r>
              <w:rPr>
                <w:color w:val="000000"/>
                <w:sz w:val="16"/>
              </w:rPr>
              <w:tab/>
            </w:r>
          </w:p>
        </w:tc>
      </w:tr>
      <w:tr w:rsidR="0008228C" w14:paraId="56C866BE"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1852F98D" w14:textId="77777777" w:rsidR="0008228C" w:rsidRDefault="00193375">
            <w:pPr>
              <w:keepNext/>
              <w:spacing w:before="53" w:after="30" w:line="300" w:lineRule="auto"/>
            </w:pPr>
            <w:r>
              <w:rPr>
                <w:color w:val="000000"/>
                <w:sz w:val="16"/>
              </w:rPr>
              <w:t>Loans held for sale</w:t>
            </w:r>
          </w:p>
        </w:tc>
        <w:tc>
          <w:tcPr>
            <w:tcW w:w="1905" w:type="dxa"/>
            <w:tcBorders>
              <w:top w:val="nil"/>
              <w:left w:val="nil"/>
              <w:bottom w:val="nil"/>
              <w:right w:val="nil"/>
            </w:tcBorders>
            <w:tcMar>
              <w:top w:w="0" w:type="dxa"/>
              <w:left w:w="0" w:type="dxa"/>
              <w:bottom w:w="0" w:type="dxa"/>
              <w:right w:w="15" w:type="dxa"/>
            </w:tcMar>
            <w:vAlign w:val="bottom"/>
          </w:tcPr>
          <w:p w14:paraId="423C467A" w14:textId="77777777" w:rsidR="0008228C" w:rsidRDefault="00193375">
            <w:pPr>
              <w:keepNext/>
              <w:tabs>
                <w:tab w:val="left" w:pos="1426"/>
                <w:tab w:val="left" w:pos="1837"/>
              </w:tabs>
              <w:spacing w:before="53" w:after="30" w:line="300" w:lineRule="auto"/>
              <w:jc w:val="right"/>
            </w:pPr>
            <w:r>
              <w:rPr>
                <w:color w:val="000000"/>
                <w:sz w:val="16"/>
              </w:rPr>
              <w:tab/>
              <w:t>2,857</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D688F43"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4F4CC81E" w14:textId="77777777" w:rsidR="0008228C" w:rsidRDefault="00193375">
            <w:pPr>
              <w:keepNext/>
              <w:tabs>
                <w:tab w:val="left" w:pos="1626"/>
                <w:tab w:val="left" w:pos="1837"/>
              </w:tabs>
              <w:spacing w:before="53" w:after="30" w:line="300" w:lineRule="auto"/>
              <w:jc w:val="right"/>
            </w:pPr>
            <w:r>
              <w:rPr>
                <w:color w:val="000000"/>
                <w:sz w:val="16"/>
              </w:rPr>
              <w:tab/>
              <w:t>—</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4FA60B60"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300F51F8" w14:textId="77777777" w:rsidR="0008228C" w:rsidRDefault="00193375">
            <w:pPr>
              <w:keepNext/>
              <w:tabs>
                <w:tab w:val="left" w:pos="1626"/>
                <w:tab w:val="left" w:pos="1837"/>
              </w:tabs>
              <w:spacing w:before="53" w:after="30" w:line="300" w:lineRule="auto"/>
              <w:jc w:val="right"/>
            </w:pPr>
            <w:r>
              <w:rPr>
                <w:color w:val="000000"/>
                <w:sz w:val="16"/>
              </w:rPr>
              <w:tab/>
              <w:t>—</w:t>
            </w:r>
            <w:r>
              <w:rPr>
                <w:color w:val="000000"/>
                <w:sz w:val="16"/>
              </w:rPr>
              <w:tab/>
            </w:r>
          </w:p>
        </w:tc>
      </w:tr>
      <w:tr w:rsidR="0008228C" w14:paraId="31675478" w14:textId="77777777">
        <w:trPr>
          <w:cantSplit/>
          <w:trHeight w:hRule="exact" w:val="240"/>
        </w:trPr>
        <w:tc>
          <w:tcPr>
            <w:tcW w:w="4965" w:type="dxa"/>
            <w:tcBorders>
              <w:top w:val="nil"/>
              <w:left w:val="nil"/>
              <w:bottom w:val="nil"/>
              <w:right w:val="nil"/>
            </w:tcBorders>
            <w:tcMar>
              <w:top w:w="0" w:type="dxa"/>
              <w:left w:w="53" w:type="dxa"/>
              <w:bottom w:w="0" w:type="dxa"/>
              <w:right w:w="53" w:type="dxa"/>
            </w:tcMar>
            <w:vAlign w:val="bottom"/>
          </w:tcPr>
          <w:p w14:paraId="611A6415" w14:textId="77777777" w:rsidR="0008228C" w:rsidRDefault="00193375">
            <w:pPr>
              <w:keepNext/>
              <w:spacing w:before="53" w:after="30" w:line="300" w:lineRule="auto"/>
            </w:pPr>
            <w:r>
              <w:rPr>
                <w:color w:val="000000"/>
                <w:sz w:val="16"/>
              </w:rPr>
              <w:t> </w:t>
            </w:r>
          </w:p>
        </w:tc>
        <w:tc>
          <w:tcPr>
            <w:tcW w:w="1905" w:type="dxa"/>
            <w:tcBorders>
              <w:top w:val="nil"/>
              <w:left w:val="nil"/>
              <w:bottom w:val="nil"/>
              <w:right w:val="nil"/>
            </w:tcBorders>
            <w:tcMar>
              <w:top w:w="0" w:type="dxa"/>
              <w:left w:w="0" w:type="dxa"/>
              <w:bottom w:w="0" w:type="dxa"/>
              <w:right w:w="0" w:type="dxa"/>
            </w:tcMar>
            <w:vAlign w:val="bottom"/>
          </w:tcPr>
          <w:p w14:paraId="4C7E6A65" w14:textId="77777777" w:rsidR="0008228C" w:rsidRDefault="0008228C">
            <w:pPr>
              <w:keepNext/>
            </w:pPr>
          </w:p>
        </w:tc>
        <w:tc>
          <w:tcPr>
            <w:tcW w:w="60" w:type="dxa"/>
            <w:tcBorders>
              <w:top w:val="nil"/>
              <w:left w:val="nil"/>
              <w:bottom w:val="nil"/>
              <w:right w:val="nil"/>
            </w:tcBorders>
            <w:tcMar>
              <w:top w:w="0" w:type="dxa"/>
              <w:left w:w="0" w:type="dxa"/>
              <w:bottom w:w="0" w:type="dxa"/>
              <w:right w:w="0" w:type="dxa"/>
            </w:tcMar>
            <w:vAlign w:val="bottom"/>
          </w:tcPr>
          <w:p w14:paraId="28C48CB2"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175640A3" w14:textId="77777777" w:rsidR="0008228C" w:rsidRDefault="00193375">
            <w:pPr>
              <w:keepNext/>
              <w:spacing w:before="5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62FA7AFD"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3E4D2A94" w14:textId="77777777" w:rsidR="0008228C" w:rsidRDefault="0008228C">
            <w:pPr>
              <w:keepNext/>
              <w:spacing w:before="53" w:after="30" w:line="300" w:lineRule="auto"/>
              <w:jc w:val="right"/>
            </w:pPr>
          </w:p>
        </w:tc>
      </w:tr>
      <w:tr w:rsidR="0008228C" w14:paraId="6B80FDF8"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64205E3A" w14:textId="77777777" w:rsidR="0008228C" w:rsidRDefault="00193375">
            <w:pPr>
              <w:keepNext/>
              <w:spacing w:before="33" w:after="30" w:line="300" w:lineRule="auto"/>
            </w:pPr>
            <w:r>
              <w:rPr>
                <w:i/>
                <w:color w:val="000000"/>
                <w:sz w:val="16"/>
              </w:rPr>
              <w:t>Construction &amp; land development</w:t>
            </w:r>
          </w:p>
        </w:tc>
        <w:tc>
          <w:tcPr>
            <w:tcW w:w="1905" w:type="dxa"/>
            <w:tcBorders>
              <w:top w:val="nil"/>
              <w:left w:val="nil"/>
              <w:bottom w:val="nil"/>
              <w:right w:val="nil"/>
            </w:tcBorders>
            <w:tcMar>
              <w:top w:w="0" w:type="dxa"/>
              <w:left w:w="0" w:type="dxa"/>
              <w:bottom w:w="0" w:type="dxa"/>
              <w:right w:w="15" w:type="dxa"/>
            </w:tcMar>
            <w:vAlign w:val="bottom"/>
          </w:tcPr>
          <w:p w14:paraId="48CBC0B8" w14:textId="77777777" w:rsidR="0008228C" w:rsidRDefault="00193375">
            <w:pPr>
              <w:keepNext/>
              <w:tabs>
                <w:tab w:val="left" w:pos="1266"/>
                <w:tab w:val="left" w:pos="1837"/>
              </w:tabs>
              <w:spacing w:before="33" w:after="30" w:line="300" w:lineRule="auto"/>
              <w:jc w:val="right"/>
            </w:pPr>
            <w:r>
              <w:rPr>
                <w:color w:val="000000"/>
                <w:sz w:val="16"/>
              </w:rPr>
              <w:tab/>
              <w:t>109,843</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4BAD3107" w14:textId="77777777" w:rsidR="0008228C" w:rsidRDefault="0008228C">
            <w:pPr>
              <w:keepNext/>
              <w:spacing w:before="3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4E3EBFBF" w14:textId="77777777" w:rsidR="0008228C" w:rsidRDefault="00193375">
            <w:pPr>
              <w:keepNext/>
              <w:tabs>
                <w:tab w:val="left" w:pos="1346"/>
                <w:tab w:val="left" w:pos="1837"/>
              </w:tabs>
              <w:spacing w:before="33" w:after="30" w:line="300" w:lineRule="auto"/>
              <w:jc w:val="right"/>
            </w:pPr>
            <w:r>
              <w:rPr>
                <w:color w:val="000000"/>
                <w:sz w:val="16"/>
              </w:rPr>
              <w:tab/>
              <w:t>77,629</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84ED2EF"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62FEFEC7" w14:textId="77777777" w:rsidR="0008228C" w:rsidRDefault="00193375">
            <w:pPr>
              <w:keepNext/>
              <w:tabs>
                <w:tab w:val="left" w:pos="1346"/>
                <w:tab w:val="left" w:pos="1837"/>
              </w:tabs>
              <w:spacing w:before="33" w:after="30" w:line="300" w:lineRule="auto"/>
              <w:jc w:val="right"/>
            </w:pPr>
            <w:r>
              <w:rPr>
                <w:color w:val="000000"/>
                <w:sz w:val="16"/>
              </w:rPr>
              <w:tab/>
              <w:t>30,459</w:t>
            </w:r>
            <w:r>
              <w:rPr>
                <w:color w:val="000000"/>
                <w:sz w:val="16"/>
              </w:rPr>
              <w:tab/>
            </w:r>
          </w:p>
        </w:tc>
      </w:tr>
      <w:tr w:rsidR="0008228C" w14:paraId="4CE9421F"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4E9BFF97" w14:textId="77777777" w:rsidR="0008228C" w:rsidRDefault="00193375">
            <w:pPr>
              <w:keepNext/>
              <w:spacing w:before="53" w:after="30" w:line="300" w:lineRule="auto"/>
            </w:pPr>
            <w:r>
              <w:rPr>
                <w:i/>
                <w:color w:val="000000"/>
                <w:sz w:val="16"/>
              </w:rPr>
              <w:t>1-4 Family Residential</w:t>
            </w:r>
          </w:p>
        </w:tc>
        <w:tc>
          <w:tcPr>
            <w:tcW w:w="1905" w:type="dxa"/>
            <w:tcBorders>
              <w:top w:val="nil"/>
              <w:left w:val="nil"/>
              <w:bottom w:val="nil"/>
              <w:right w:val="nil"/>
            </w:tcBorders>
            <w:tcMar>
              <w:top w:w="0" w:type="dxa"/>
              <w:left w:w="0" w:type="dxa"/>
              <w:bottom w:w="0" w:type="dxa"/>
              <w:right w:w="15" w:type="dxa"/>
            </w:tcMar>
            <w:vAlign w:val="bottom"/>
          </w:tcPr>
          <w:p w14:paraId="51A91E4B" w14:textId="77777777" w:rsidR="0008228C" w:rsidRDefault="00193375">
            <w:pPr>
              <w:keepNext/>
              <w:tabs>
                <w:tab w:val="left" w:pos="1266"/>
                <w:tab w:val="left" w:pos="1837"/>
              </w:tabs>
              <w:spacing w:before="53" w:after="30" w:line="300" w:lineRule="auto"/>
              <w:jc w:val="right"/>
            </w:pPr>
            <w:r>
              <w:rPr>
                <w:color w:val="000000"/>
                <w:sz w:val="16"/>
              </w:rPr>
              <w:tab/>
              <w:t>116,835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FFC064D"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628A96C1" w14:textId="77777777" w:rsidR="0008228C" w:rsidRDefault="00193375">
            <w:pPr>
              <w:keepNext/>
              <w:tabs>
                <w:tab w:val="left" w:pos="1266"/>
                <w:tab w:val="left" w:pos="1837"/>
              </w:tabs>
              <w:spacing w:before="53" w:after="30" w:line="300" w:lineRule="auto"/>
              <w:jc w:val="right"/>
            </w:pPr>
            <w:r>
              <w:rPr>
                <w:color w:val="000000"/>
                <w:sz w:val="16"/>
              </w:rPr>
              <w:tab/>
              <w:t>133,994</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79C661B2"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4A9EE5F8" w14:textId="77777777" w:rsidR="0008228C" w:rsidRDefault="00193375">
            <w:pPr>
              <w:keepNext/>
              <w:tabs>
                <w:tab w:val="left" w:pos="1266"/>
                <w:tab w:val="left" w:pos="1837"/>
              </w:tabs>
              <w:spacing w:before="53" w:after="30" w:line="300" w:lineRule="auto"/>
              <w:jc w:val="right"/>
            </w:pPr>
            <w:r>
              <w:rPr>
                <w:color w:val="000000"/>
                <w:sz w:val="16"/>
              </w:rPr>
              <w:tab/>
              <w:t>106,082</w:t>
            </w:r>
            <w:r>
              <w:rPr>
                <w:color w:val="000000"/>
                <w:sz w:val="16"/>
              </w:rPr>
              <w:tab/>
            </w:r>
          </w:p>
        </w:tc>
      </w:tr>
      <w:tr w:rsidR="0008228C" w14:paraId="79AE2879"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2B9A6FBC" w14:textId="77777777" w:rsidR="0008228C" w:rsidRDefault="00193375">
            <w:pPr>
              <w:keepNext/>
              <w:spacing w:before="53" w:after="30" w:line="300" w:lineRule="auto"/>
            </w:pPr>
            <w:r>
              <w:rPr>
                <w:i/>
                <w:color w:val="000000"/>
                <w:sz w:val="16"/>
              </w:rPr>
              <w:t>Multifamily</w:t>
            </w:r>
          </w:p>
        </w:tc>
        <w:tc>
          <w:tcPr>
            <w:tcW w:w="1905" w:type="dxa"/>
            <w:tcBorders>
              <w:top w:val="nil"/>
              <w:left w:val="nil"/>
              <w:bottom w:val="nil"/>
              <w:right w:val="nil"/>
            </w:tcBorders>
            <w:tcMar>
              <w:top w:w="0" w:type="dxa"/>
              <w:left w:w="0" w:type="dxa"/>
              <w:bottom w:w="0" w:type="dxa"/>
              <w:right w:w="15" w:type="dxa"/>
            </w:tcMar>
            <w:vAlign w:val="bottom"/>
          </w:tcPr>
          <w:p w14:paraId="5EBD5C48" w14:textId="77777777" w:rsidR="0008228C" w:rsidRDefault="00193375">
            <w:pPr>
              <w:keepNext/>
              <w:tabs>
                <w:tab w:val="left" w:pos="1266"/>
                <w:tab w:val="left" w:pos="1837"/>
              </w:tabs>
              <w:spacing w:before="53" w:after="30" w:line="300" w:lineRule="auto"/>
              <w:jc w:val="right"/>
            </w:pPr>
            <w:r>
              <w:rPr>
                <w:color w:val="000000"/>
                <w:sz w:val="16"/>
              </w:rPr>
              <w:tab/>
              <w:t>188,039</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218A1FF5"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4AF8BFC3" w14:textId="77777777" w:rsidR="0008228C" w:rsidRDefault="00193375">
            <w:pPr>
              <w:keepNext/>
              <w:tabs>
                <w:tab w:val="left" w:pos="1266"/>
                <w:tab w:val="left" w:pos="1837"/>
              </w:tabs>
              <w:spacing w:before="53" w:after="30" w:line="300" w:lineRule="auto"/>
              <w:jc w:val="right"/>
            </w:pPr>
            <w:r>
              <w:rPr>
                <w:color w:val="000000"/>
                <w:sz w:val="16"/>
              </w:rPr>
              <w:tab/>
              <w:t>175,751</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43E179CD"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3C0A7EC5" w14:textId="77777777" w:rsidR="0008228C" w:rsidRDefault="00193375">
            <w:pPr>
              <w:keepNext/>
              <w:tabs>
                <w:tab w:val="left" w:pos="1266"/>
                <w:tab w:val="left" w:pos="1837"/>
              </w:tabs>
              <w:spacing w:before="53" w:after="30" w:line="300" w:lineRule="auto"/>
              <w:jc w:val="right"/>
            </w:pPr>
            <w:r>
              <w:rPr>
                <w:color w:val="000000"/>
                <w:sz w:val="16"/>
              </w:rPr>
              <w:tab/>
              <w:t>108,601</w:t>
            </w:r>
            <w:r>
              <w:rPr>
                <w:color w:val="000000"/>
                <w:sz w:val="16"/>
              </w:rPr>
              <w:tab/>
            </w:r>
          </w:p>
        </w:tc>
      </w:tr>
      <w:tr w:rsidR="0008228C" w14:paraId="2AF3B595"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2953B327" w14:textId="77777777" w:rsidR="0008228C" w:rsidRDefault="00193375">
            <w:pPr>
              <w:keepNext/>
              <w:spacing w:before="53" w:after="30" w:line="300" w:lineRule="auto"/>
            </w:pPr>
            <w:r>
              <w:rPr>
                <w:i/>
                <w:color w:val="000000"/>
                <w:sz w:val="16"/>
              </w:rPr>
              <w:t>Other commercial real estate</w:t>
            </w:r>
          </w:p>
        </w:tc>
        <w:tc>
          <w:tcPr>
            <w:tcW w:w="1905" w:type="dxa"/>
            <w:tcBorders>
              <w:top w:val="nil"/>
              <w:left w:val="nil"/>
              <w:bottom w:val="nil"/>
              <w:right w:val="nil"/>
            </w:tcBorders>
            <w:tcMar>
              <w:top w:w="0" w:type="dxa"/>
              <w:left w:w="0" w:type="dxa"/>
              <w:bottom w:w="0" w:type="dxa"/>
              <w:right w:w="15" w:type="dxa"/>
            </w:tcMar>
            <w:vAlign w:val="bottom"/>
          </w:tcPr>
          <w:p w14:paraId="0B0CA920" w14:textId="77777777" w:rsidR="0008228C" w:rsidRDefault="00193375">
            <w:pPr>
              <w:keepNext/>
              <w:tabs>
                <w:tab w:val="left" w:pos="1266"/>
                <w:tab w:val="left" w:pos="1837"/>
              </w:tabs>
              <w:spacing w:before="53" w:after="30" w:line="300" w:lineRule="auto"/>
              <w:jc w:val="right"/>
            </w:pPr>
            <w:r>
              <w:rPr>
                <w:color w:val="000000"/>
                <w:sz w:val="16"/>
              </w:rPr>
              <w:tab/>
              <w:t>893,705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FC0EED0"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279698A0" w14:textId="77777777" w:rsidR="0008228C" w:rsidRDefault="00193375">
            <w:pPr>
              <w:keepNext/>
              <w:tabs>
                <w:tab w:val="left" w:pos="1266"/>
                <w:tab w:val="left" w:pos="1837"/>
              </w:tabs>
              <w:spacing w:before="53" w:after="30" w:line="300" w:lineRule="auto"/>
              <w:jc w:val="right"/>
            </w:pPr>
            <w:r>
              <w:rPr>
                <w:color w:val="000000"/>
                <w:sz w:val="16"/>
              </w:rPr>
              <w:tab/>
              <w:t>766,824</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769FDBA"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1837ACFA" w14:textId="77777777" w:rsidR="0008228C" w:rsidRDefault="00193375">
            <w:pPr>
              <w:keepNext/>
              <w:tabs>
                <w:tab w:val="left" w:pos="1266"/>
                <w:tab w:val="left" w:pos="1837"/>
              </w:tabs>
              <w:spacing w:before="53" w:after="30" w:line="300" w:lineRule="auto"/>
              <w:jc w:val="right"/>
            </w:pPr>
            <w:r>
              <w:rPr>
                <w:color w:val="000000"/>
                <w:sz w:val="16"/>
              </w:rPr>
              <w:tab/>
              <w:t>443,613</w:t>
            </w:r>
            <w:r>
              <w:rPr>
                <w:color w:val="000000"/>
                <w:sz w:val="16"/>
              </w:rPr>
              <w:tab/>
            </w:r>
          </w:p>
        </w:tc>
      </w:tr>
      <w:tr w:rsidR="0008228C" w14:paraId="32BC11F4"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6289E8E6" w14:textId="77777777" w:rsidR="0008228C" w:rsidRDefault="00193375">
            <w:pPr>
              <w:keepNext/>
              <w:spacing w:before="53" w:after="30" w:line="300" w:lineRule="auto"/>
            </w:pPr>
            <w:r>
              <w:rPr>
                <w:i/>
                <w:color w:val="000000"/>
                <w:sz w:val="16"/>
              </w:rPr>
              <w:t>Commercial &amp; industrial</w:t>
            </w:r>
          </w:p>
        </w:tc>
        <w:tc>
          <w:tcPr>
            <w:tcW w:w="1905" w:type="dxa"/>
            <w:tcBorders>
              <w:top w:val="nil"/>
              <w:left w:val="nil"/>
              <w:bottom w:val="nil"/>
              <w:right w:val="nil"/>
            </w:tcBorders>
            <w:tcMar>
              <w:top w:w="0" w:type="dxa"/>
              <w:left w:w="0" w:type="dxa"/>
              <w:bottom w:w="0" w:type="dxa"/>
              <w:right w:w="15" w:type="dxa"/>
            </w:tcMar>
            <w:vAlign w:val="bottom"/>
          </w:tcPr>
          <w:p w14:paraId="5FB89C3D" w14:textId="77777777" w:rsidR="0008228C" w:rsidRDefault="00193375">
            <w:pPr>
              <w:keepNext/>
              <w:tabs>
                <w:tab w:val="left" w:pos="1266"/>
                <w:tab w:val="left" w:pos="1837"/>
              </w:tabs>
              <w:spacing w:before="53" w:after="30" w:line="300" w:lineRule="auto"/>
              <w:jc w:val="right"/>
            </w:pPr>
            <w:r>
              <w:rPr>
                <w:color w:val="000000"/>
                <w:sz w:val="16"/>
              </w:rPr>
              <w:tab/>
              <w:t>316,971</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484EC473"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10D34606" w14:textId="77777777" w:rsidR="0008228C" w:rsidRDefault="00193375">
            <w:pPr>
              <w:keepNext/>
              <w:tabs>
                <w:tab w:val="left" w:pos="1266"/>
                <w:tab w:val="left" w:pos="1837"/>
              </w:tabs>
              <w:spacing w:before="53" w:after="30" w:line="300" w:lineRule="auto"/>
              <w:jc w:val="right"/>
            </w:pPr>
            <w:r>
              <w:rPr>
                <w:color w:val="000000"/>
                <w:sz w:val="16"/>
              </w:rPr>
              <w:tab/>
              <w:t>349,022</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14320A48"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5EC1252D" w14:textId="77777777" w:rsidR="0008228C" w:rsidRDefault="00193375">
            <w:pPr>
              <w:keepNext/>
              <w:tabs>
                <w:tab w:val="left" w:pos="1266"/>
                <w:tab w:val="left" w:pos="1837"/>
              </w:tabs>
              <w:spacing w:before="53" w:after="30" w:line="300" w:lineRule="auto"/>
              <w:jc w:val="right"/>
            </w:pPr>
            <w:r>
              <w:rPr>
                <w:color w:val="000000"/>
                <w:sz w:val="16"/>
              </w:rPr>
              <w:tab/>
              <w:t>723,444</w:t>
            </w:r>
            <w:r>
              <w:rPr>
                <w:color w:val="000000"/>
                <w:sz w:val="16"/>
              </w:rPr>
              <w:tab/>
            </w:r>
          </w:p>
        </w:tc>
      </w:tr>
      <w:tr w:rsidR="0008228C" w14:paraId="2DA154F5"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740998FA" w14:textId="77777777" w:rsidR="0008228C" w:rsidRDefault="00193375">
            <w:pPr>
              <w:keepNext/>
              <w:spacing w:before="53" w:after="30" w:line="300" w:lineRule="auto"/>
            </w:pPr>
            <w:r>
              <w:rPr>
                <w:i/>
                <w:color w:val="000000"/>
                <w:sz w:val="16"/>
              </w:rPr>
              <w:t>Other consumer</w:t>
            </w:r>
          </w:p>
        </w:tc>
        <w:tc>
          <w:tcPr>
            <w:tcW w:w="1905" w:type="dxa"/>
            <w:tcBorders>
              <w:top w:val="nil"/>
              <w:left w:val="nil"/>
              <w:bottom w:val="single" w:sz="8" w:space="0" w:color="000000"/>
              <w:right w:val="nil"/>
            </w:tcBorders>
            <w:tcMar>
              <w:top w:w="0" w:type="dxa"/>
              <w:left w:w="0" w:type="dxa"/>
              <w:bottom w:w="0" w:type="dxa"/>
              <w:right w:w="15" w:type="dxa"/>
            </w:tcMar>
            <w:vAlign w:val="bottom"/>
          </w:tcPr>
          <w:p w14:paraId="2F3E98C5" w14:textId="77777777" w:rsidR="0008228C" w:rsidRDefault="00193375">
            <w:pPr>
              <w:keepNext/>
              <w:tabs>
                <w:tab w:val="left" w:pos="1426"/>
                <w:tab w:val="left" w:pos="1837"/>
              </w:tabs>
              <w:spacing w:before="53" w:after="30" w:line="300" w:lineRule="auto"/>
              <w:jc w:val="right"/>
            </w:pPr>
            <w:r>
              <w:rPr>
                <w:color w:val="000000"/>
                <w:sz w:val="16"/>
              </w:rPr>
              <w:tab/>
              <w:t>1,611</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0F77916A" w14:textId="77777777" w:rsidR="0008228C" w:rsidRDefault="0008228C">
            <w:pPr>
              <w:keepNext/>
              <w:spacing w:before="53" w:after="30" w:line="300" w:lineRule="auto"/>
              <w:jc w:val="righ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79124CCC" w14:textId="77777777" w:rsidR="0008228C" w:rsidRDefault="00193375">
            <w:pPr>
              <w:keepNext/>
              <w:tabs>
                <w:tab w:val="left" w:pos="1426"/>
                <w:tab w:val="left" w:pos="1837"/>
              </w:tabs>
              <w:spacing w:before="53" w:after="30" w:line="300" w:lineRule="auto"/>
              <w:jc w:val="right"/>
            </w:pPr>
            <w:r>
              <w:rPr>
                <w:color w:val="000000"/>
                <w:sz w:val="16"/>
              </w:rPr>
              <w:tab/>
              <w:t>1,528</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4E191E47" w14:textId="77777777" w:rsidR="0008228C" w:rsidRDefault="0008228C">
            <w:pPr>
              <w:keepNex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34AB607C" w14:textId="77777777" w:rsidR="0008228C" w:rsidRDefault="00193375">
            <w:pPr>
              <w:keepNext/>
              <w:tabs>
                <w:tab w:val="left" w:pos="1426"/>
                <w:tab w:val="left" w:pos="1837"/>
              </w:tabs>
              <w:spacing w:before="53" w:after="30" w:line="300" w:lineRule="auto"/>
              <w:jc w:val="right"/>
            </w:pPr>
            <w:r>
              <w:rPr>
                <w:color w:val="000000"/>
                <w:sz w:val="16"/>
              </w:rPr>
              <w:tab/>
              <w:t>4,181</w:t>
            </w:r>
            <w:r>
              <w:rPr>
                <w:color w:val="000000"/>
                <w:sz w:val="16"/>
              </w:rPr>
              <w:tab/>
            </w:r>
          </w:p>
        </w:tc>
      </w:tr>
      <w:tr w:rsidR="0008228C" w14:paraId="5D8F03C3"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214501AA" w14:textId="77777777" w:rsidR="0008228C" w:rsidRDefault="00193375">
            <w:pPr>
              <w:keepNext/>
              <w:spacing w:before="33" w:after="30" w:line="300" w:lineRule="auto"/>
              <w:ind w:left="180"/>
            </w:pPr>
            <w:r>
              <w:rPr>
                <w:color w:val="000000"/>
                <w:sz w:val="16"/>
              </w:rPr>
              <w:t>Total loans held for investment</w:t>
            </w:r>
          </w:p>
        </w:tc>
        <w:tc>
          <w:tcPr>
            <w:tcW w:w="1905" w:type="dxa"/>
            <w:tcBorders>
              <w:top w:val="single" w:sz="8" w:space="0" w:color="000000"/>
              <w:left w:val="nil"/>
              <w:bottom w:val="nil"/>
              <w:right w:val="nil"/>
            </w:tcBorders>
            <w:tcMar>
              <w:top w:w="0" w:type="dxa"/>
              <w:left w:w="0" w:type="dxa"/>
              <w:bottom w:w="0" w:type="dxa"/>
              <w:right w:w="15" w:type="dxa"/>
            </w:tcMar>
            <w:vAlign w:val="bottom"/>
          </w:tcPr>
          <w:p w14:paraId="6F5D953F" w14:textId="77777777" w:rsidR="0008228C" w:rsidRDefault="00193375">
            <w:pPr>
              <w:keepNext/>
              <w:tabs>
                <w:tab w:val="left" w:pos="1146"/>
                <w:tab w:val="left" w:pos="1837"/>
              </w:tabs>
              <w:spacing w:before="33" w:after="30" w:line="300" w:lineRule="auto"/>
              <w:jc w:val="right"/>
            </w:pPr>
            <w:r>
              <w:rPr>
                <w:color w:val="000000"/>
                <w:sz w:val="16"/>
              </w:rPr>
              <w:tab/>
              <w:t>1,627,004</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4337E74" w14:textId="77777777" w:rsidR="0008228C" w:rsidRDefault="0008228C">
            <w:pPr>
              <w:keepNext/>
              <w:spacing w:before="33" w:after="30" w:line="300" w:lineRule="auto"/>
              <w:jc w:val="righ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76872FFC" w14:textId="77777777" w:rsidR="0008228C" w:rsidRDefault="00193375">
            <w:pPr>
              <w:keepNext/>
              <w:tabs>
                <w:tab w:val="left" w:pos="1146"/>
                <w:tab w:val="left" w:pos="1837"/>
              </w:tabs>
              <w:spacing w:before="33" w:after="30" w:line="300" w:lineRule="auto"/>
              <w:jc w:val="right"/>
            </w:pPr>
            <w:r>
              <w:rPr>
                <w:color w:val="000000"/>
                <w:sz w:val="16"/>
              </w:rPr>
              <w:tab/>
              <w:t>1,504,748</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3B48BC86" w14:textId="77777777" w:rsidR="0008228C" w:rsidRDefault="0008228C">
            <w:pPr>
              <w:keepNex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707542C2" w14:textId="77777777" w:rsidR="0008228C" w:rsidRDefault="00193375">
            <w:pPr>
              <w:keepNext/>
              <w:tabs>
                <w:tab w:val="left" w:pos="1146"/>
                <w:tab w:val="left" w:pos="1837"/>
              </w:tabs>
              <w:spacing w:before="33" w:after="30" w:line="300" w:lineRule="auto"/>
              <w:jc w:val="right"/>
            </w:pPr>
            <w:r>
              <w:rPr>
                <w:color w:val="000000"/>
                <w:sz w:val="16"/>
              </w:rPr>
              <w:tab/>
              <w:t>1,416,380</w:t>
            </w:r>
            <w:r>
              <w:rPr>
                <w:color w:val="000000"/>
                <w:sz w:val="16"/>
              </w:rPr>
              <w:tab/>
            </w:r>
          </w:p>
        </w:tc>
      </w:tr>
      <w:tr w:rsidR="0008228C" w14:paraId="52A83AFE"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52903046" w14:textId="77777777" w:rsidR="0008228C" w:rsidRDefault="00193375">
            <w:pPr>
              <w:keepNext/>
              <w:spacing w:before="53" w:after="30" w:line="300" w:lineRule="auto"/>
            </w:pPr>
            <w:r>
              <w:rPr>
                <w:color w:val="000000"/>
                <w:sz w:val="16"/>
              </w:rPr>
              <w:t>Allowance for loan losses</w:t>
            </w:r>
          </w:p>
        </w:tc>
        <w:tc>
          <w:tcPr>
            <w:tcW w:w="1905" w:type="dxa"/>
            <w:tcBorders>
              <w:top w:val="nil"/>
              <w:left w:val="nil"/>
              <w:bottom w:val="single" w:sz="8" w:space="0" w:color="000000"/>
              <w:right w:val="nil"/>
            </w:tcBorders>
            <w:tcMar>
              <w:top w:w="0" w:type="dxa"/>
              <w:left w:w="0" w:type="dxa"/>
              <w:bottom w:w="0" w:type="dxa"/>
              <w:right w:w="15" w:type="dxa"/>
            </w:tcMar>
            <w:vAlign w:val="bottom"/>
          </w:tcPr>
          <w:p w14:paraId="0098BE82" w14:textId="77777777" w:rsidR="0008228C" w:rsidRDefault="00193375">
            <w:pPr>
              <w:keepNext/>
              <w:tabs>
                <w:tab w:val="left" w:pos="1292"/>
              </w:tabs>
              <w:spacing w:before="53" w:after="30" w:line="300" w:lineRule="auto"/>
              <w:jc w:val="right"/>
            </w:pPr>
            <w:r>
              <w:rPr>
                <w:color w:val="000000"/>
                <w:sz w:val="16"/>
              </w:rPr>
              <w:tab/>
              <w:t>(13,534)</w:t>
            </w:r>
          </w:p>
        </w:tc>
        <w:tc>
          <w:tcPr>
            <w:tcW w:w="60" w:type="dxa"/>
            <w:tcBorders>
              <w:top w:val="nil"/>
              <w:left w:val="nil"/>
              <w:bottom w:val="nil"/>
              <w:right w:val="nil"/>
            </w:tcBorders>
            <w:tcMar>
              <w:top w:w="0" w:type="dxa"/>
              <w:left w:w="0" w:type="dxa"/>
              <w:bottom w:w="0" w:type="dxa"/>
              <w:right w:w="15" w:type="dxa"/>
            </w:tcMar>
            <w:vAlign w:val="bottom"/>
          </w:tcPr>
          <w:p w14:paraId="7ED122DE" w14:textId="77777777" w:rsidR="0008228C" w:rsidRDefault="0008228C">
            <w:pPr>
              <w:keepNext/>
              <w:spacing w:before="53" w:after="30" w:line="300" w:lineRule="auto"/>
              <w:jc w:val="righ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38338DD8" w14:textId="77777777" w:rsidR="0008228C" w:rsidRDefault="00193375">
            <w:pPr>
              <w:keepNext/>
              <w:tabs>
                <w:tab w:val="left" w:pos="1292"/>
              </w:tabs>
              <w:spacing w:before="53" w:after="30" w:line="300" w:lineRule="auto"/>
              <w:jc w:val="right"/>
            </w:pPr>
            <w:r>
              <w:rPr>
                <w:color w:val="000000"/>
                <w:sz w:val="16"/>
              </w:rPr>
              <w:tab/>
              <w:t>(11,657)</w:t>
            </w:r>
          </w:p>
        </w:tc>
        <w:tc>
          <w:tcPr>
            <w:tcW w:w="60" w:type="dxa"/>
            <w:tcBorders>
              <w:top w:val="nil"/>
              <w:left w:val="nil"/>
              <w:bottom w:val="nil"/>
              <w:right w:val="nil"/>
            </w:tcBorders>
            <w:tcMar>
              <w:top w:w="0" w:type="dxa"/>
              <w:left w:w="0" w:type="dxa"/>
              <w:bottom w:w="0" w:type="dxa"/>
              <w:right w:w="0" w:type="dxa"/>
            </w:tcMar>
            <w:vAlign w:val="bottom"/>
          </w:tcPr>
          <w:p w14:paraId="2CD56BC4" w14:textId="77777777" w:rsidR="0008228C" w:rsidRDefault="0008228C">
            <w:pPr>
              <w:keepNex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1293FEF2" w14:textId="77777777" w:rsidR="0008228C" w:rsidRDefault="00193375">
            <w:pPr>
              <w:keepNext/>
              <w:tabs>
                <w:tab w:val="left" w:pos="1292"/>
              </w:tabs>
              <w:spacing w:before="53" w:after="30" w:line="300" w:lineRule="auto"/>
              <w:jc w:val="right"/>
            </w:pPr>
            <w:r>
              <w:rPr>
                <w:color w:val="000000"/>
                <w:sz w:val="16"/>
              </w:rPr>
              <w:tab/>
              <w:t>(10,270)</w:t>
            </w:r>
          </w:p>
        </w:tc>
      </w:tr>
      <w:tr w:rsidR="0008228C" w14:paraId="60B97512"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1AEBFB24" w14:textId="77777777" w:rsidR="0008228C" w:rsidRDefault="00193375">
            <w:pPr>
              <w:keepNext/>
              <w:spacing w:before="33" w:after="30" w:line="300" w:lineRule="auto"/>
              <w:ind w:left="180"/>
            </w:pPr>
            <w:r>
              <w:rPr>
                <w:color w:val="000000"/>
                <w:sz w:val="16"/>
              </w:rPr>
              <w:t>Total loans held for investment, net</w:t>
            </w:r>
          </w:p>
        </w:tc>
        <w:tc>
          <w:tcPr>
            <w:tcW w:w="1905" w:type="dxa"/>
            <w:tcBorders>
              <w:top w:val="single" w:sz="8" w:space="0" w:color="000000"/>
              <w:left w:val="nil"/>
              <w:bottom w:val="nil"/>
              <w:right w:val="nil"/>
            </w:tcBorders>
            <w:tcMar>
              <w:top w:w="0" w:type="dxa"/>
              <w:left w:w="0" w:type="dxa"/>
              <w:bottom w:w="0" w:type="dxa"/>
              <w:right w:w="15" w:type="dxa"/>
            </w:tcMar>
            <w:vAlign w:val="bottom"/>
          </w:tcPr>
          <w:p w14:paraId="6A0E57E3" w14:textId="77777777" w:rsidR="0008228C" w:rsidRDefault="00193375">
            <w:pPr>
              <w:keepNext/>
              <w:tabs>
                <w:tab w:val="left" w:pos="1146"/>
                <w:tab w:val="left" w:pos="1837"/>
              </w:tabs>
              <w:spacing w:before="33" w:after="30" w:line="300" w:lineRule="auto"/>
              <w:jc w:val="right"/>
            </w:pPr>
            <w:r>
              <w:rPr>
                <w:color w:val="000000"/>
                <w:sz w:val="16"/>
              </w:rPr>
              <w:tab/>
              <w:t>1,613,470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434E8811" w14:textId="77777777" w:rsidR="0008228C" w:rsidRDefault="0008228C">
            <w:pPr>
              <w:keepNext/>
              <w:spacing w:before="33" w:after="30" w:line="300" w:lineRule="auto"/>
              <w:jc w:val="righ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36C6BD88" w14:textId="77777777" w:rsidR="0008228C" w:rsidRDefault="00193375">
            <w:pPr>
              <w:keepNext/>
              <w:tabs>
                <w:tab w:val="left" w:pos="1146"/>
                <w:tab w:val="left" w:pos="1837"/>
              </w:tabs>
              <w:spacing w:before="33" w:after="30" w:line="300" w:lineRule="auto"/>
              <w:jc w:val="right"/>
            </w:pPr>
            <w:r>
              <w:rPr>
                <w:color w:val="000000"/>
                <w:sz w:val="16"/>
              </w:rPr>
              <w:tab/>
              <w:t>1,493,091</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0161DD95" w14:textId="77777777" w:rsidR="0008228C" w:rsidRDefault="0008228C">
            <w:pPr>
              <w:keepNex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227E4212" w14:textId="77777777" w:rsidR="0008228C" w:rsidRDefault="00193375">
            <w:pPr>
              <w:keepNext/>
              <w:tabs>
                <w:tab w:val="left" w:pos="1146"/>
                <w:tab w:val="left" w:pos="1837"/>
              </w:tabs>
              <w:spacing w:before="33" w:after="30" w:line="300" w:lineRule="auto"/>
              <w:jc w:val="right"/>
            </w:pPr>
            <w:r>
              <w:rPr>
                <w:color w:val="000000"/>
                <w:sz w:val="16"/>
              </w:rPr>
              <w:tab/>
              <w:t>1,406,110</w:t>
            </w:r>
            <w:r>
              <w:rPr>
                <w:color w:val="000000"/>
                <w:sz w:val="16"/>
              </w:rPr>
              <w:tab/>
            </w:r>
          </w:p>
        </w:tc>
      </w:tr>
      <w:tr w:rsidR="0008228C" w14:paraId="791F7249" w14:textId="77777777">
        <w:trPr>
          <w:cantSplit/>
          <w:trHeight w:hRule="exact" w:val="240"/>
        </w:trPr>
        <w:tc>
          <w:tcPr>
            <w:tcW w:w="4965" w:type="dxa"/>
            <w:tcBorders>
              <w:top w:val="nil"/>
              <w:left w:val="nil"/>
              <w:bottom w:val="nil"/>
              <w:right w:val="nil"/>
            </w:tcBorders>
            <w:tcMar>
              <w:top w:w="0" w:type="dxa"/>
              <w:left w:w="53" w:type="dxa"/>
              <w:bottom w:w="0" w:type="dxa"/>
              <w:right w:w="53" w:type="dxa"/>
            </w:tcMar>
            <w:vAlign w:val="bottom"/>
          </w:tcPr>
          <w:p w14:paraId="45CD1249" w14:textId="77777777" w:rsidR="0008228C" w:rsidRDefault="00193375">
            <w:pPr>
              <w:keepNext/>
              <w:spacing w:before="33" w:after="30" w:line="300" w:lineRule="auto"/>
            </w:pPr>
            <w:r>
              <w:rPr>
                <w:color w:val="000000"/>
                <w:sz w:val="16"/>
              </w:rPr>
              <w:t> </w:t>
            </w:r>
          </w:p>
        </w:tc>
        <w:tc>
          <w:tcPr>
            <w:tcW w:w="1905" w:type="dxa"/>
            <w:tcBorders>
              <w:top w:val="nil"/>
              <w:left w:val="nil"/>
              <w:bottom w:val="nil"/>
              <w:right w:val="nil"/>
            </w:tcBorders>
            <w:tcMar>
              <w:top w:w="0" w:type="dxa"/>
              <w:left w:w="0" w:type="dxa"/>
              <w:bottom w:w="0" w:type="dxa"/>
              <w:right w:w="15" w:type="dxa"/>
            </w:tcMar>
            <w:vAlign w:val="bottom"/>
          </w:tcPr>
          <w:p w14:paraId="67435B7A" w14:textId="77777777" w:rsidR="0008228C" w:rsidRDefault="00193375">
            <w:pPr>
              <w:keepNext/>
              <w:spacing w:before="3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1E1932CF"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47BF00B9" w14:textId="77777777" w:rsidR="0008228C" w:rsidRDefault="00193375">
            <w:pPr>
              <w:keepNext/>
              <w:spacing w:before="3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058B84AA" w14:textId="77777777" w:rsidR="0008228C" w:rsidRDefault="0008228C">
            <w:pPr>
              <w:keepNext/>
            </w:pPr>
          </w:p>
        </w:tc>
        <w:tc>
          <w:tcPr>
            <w:tcW w:w="1905" w:type="dxa"/>
            <w:tcBorders>
              <w:top w:val="nil"/>
              <w:left w:val="nil"/>
              <w:bottom w:val="nil"/>
              <w:right w:val="nil"/>
            </w:tcBorders>
            <w:tcMar>
              <w:top w:w="0" w:type="dxa"/>
              <w:left w:w="0" w:type="dxa"/>
              <w:bottom w:w="0" w:type="dxa"/>
              <w:right w:w="53" w:type="dxa"/>
            </w:tcMar>
            <w:vAlign w:val="bottom"/>
          </w:tcPr>
          <w:p w14:paraId="546D1DDC" w14:textId="77777777" w:rsidR="0008228C" w:rsidRDefault="0008228C">
            <w:pPr>
              <w:keepNext/>
              <w:spacing w:before="33" w:after="30" w:line="300" w:lineRule="auto"/>
              <w:jc w:val="right"/>
            </w:pPr>
          </w:p>
        </w:tc>
      </w:tr>
      <w:tr w:rsidR="0008228C" w14:paraId="243EE642" w14:textId="77777777">
        <w:trPr>
          <w:cantSplit/>
          <w:trHeight w:hRule="exact" w:val="240"/>
        </w:trPr>
        <w:tc>
          <w:tcPr>
            <w:tcW w:w="4965" w:type="dxa"/>
            <w:tcBorders>
              <w:top w:val="nil"/>
              <w:left w:val="nil"/>
              <w:bottom w:val="nil"/>
              <w:right w:val="nil"/>
            </w:tcBorders>
            <w:tcMar>
              <w:top w:w="0" w:type="dxa"/>
              <w:left w:w="53" w:type="dxa"/>
              <w:bottom w:w="0" w:type="dxa"/>
              <w:right w:w="53" w:type="dxa"/>
            </w:tcMar>
            <w:vAlign w:val="bottom"/>
          </w:tcPr>
          <w:p w14:paraId="467053E7" w14:textId="77777777" w:rsidR="0008228C" w:rsidRDefault="00193375">
            <w:pPr>
              <w:keepNext/>
              <w:spacing w:before="53" w:after="30" w:line="300" w:lineRule="auto"/>
            </w:pPr>
            <w:r>
              <w:rPr>
                <w:color w:val="000000"/>
                <w:sz w:val="14"/>
              </w:rPr>
              <w:t>Restricted stock at cost</w:t>
            </w:r>
          </w:p>
        </w:tc>
        <w:tc>
          <w:tcPr>
            <w:tcW w:w="1905" w:type="dxa"/>
            <w:tcBorders>
              <w:top w:val="nil"/>
              <w:left w:val="nil"/>
              <w:bottom w:val="nil"/>
              <w:right w:val="nil"/>
            </w:tcBorders>
            <w:tcMar>
              <w:top w:w="0" w:type="dxa"/>
              <w:left w:w="0" w:type="dxa"/>
              <w:bottom w:w="0" w:type="dxa"/>
              <w:right w:w="15" w:type="dxa"/>
            </w:tcMar>
            <w:vAlign w:val="bottom"/>
          </w:tcPr>
          <w:p w14:paraId="5E4FA8A5" w14:textId="77777777" w:rsidR="0008228C" w:rsidRDefault="00193375">
            <w:pPr>
              <w:keepNext/>
              <w:tabs>
                <w:tab w:val="left" w:pos="1401"/>
                <w:tab w:val="left" w:pos="1837"/>
              </w:tabs>
              <w:spacing w:before="53" w:after="30" w:line="300" w:lineRule="auto"/>
              <w:jc w:val="right"/>
            </w:pPr>
            <w:r>
              <w:rPr>
                <w:color w:val="000000"/>
                <w:sz w:val="14"/>
              </w:rPr>
              <w:tab/>
              <w:t>14,464</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3105B914"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439A06C3" w14:textId="77777777" w:rsidR="0008228C" w:rsidRDefault="00193375">
            <w:pPr>
              <w:keepNext/>
              <w:tabs>
                <w:tab w:val="left" w:pos="1401"/>
                <w:tab w:val="left" w:pos="1837"/>
              </w:tabs>
              <w:spacing w:before="53" w:after="30" w:line="300" w:lineRule="auto"/>
              <w:jc w:val="right"/>
            </w:pPr>
            <w:r>
              <w:rPr>
                <w:color w:val="000000"/>
                <w:sz w:val="14"/>
              </w:rPr>
              <w:tab/>
              <w:t>12,493</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07024028"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7C6405C9" w14:textId="77777777" w:rsidR="0008228C" w:rsidRDefault="00193375">
            <w:pPr>
              <w:keepNext/>
              <w:tabs>
                <w:tab w:val="left" w:pos="1426"/>
                <w:tab w:val="left" w:pos="1837"/>
              </w:tabs>
              <w:spacing w:before="53" w:after="30" w:line="300" w:lineRule="auto"/>
              <w:jc w:val="right"/>
            </w:pPr>
            <w:r>
              <w:rPr>
                <w:color w:val="000000"/>
                <w:sz w:val="16"/>
              </w:rPr>
              <w:tab/>
              <w:t>9,856</w:t>
            </w:r>
            <w:r>
              <w:rPr>
                <w:color w:val="000000"/>
                <w:sz w:val="16"/>
              </w:rPr>
              <w:tab/>
            </w:r>
          </w:p>
        </w:tc>
      </w:tr>
      <w:tr w:rsidR="0008228C" w14:paraId="73C0229D"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1C143DBB" w14:textId="77777777" w:rsidR="0008228C" w:rsidRDefault="00193375">
            <w:pPr>
              <w:keepNext/>
              <w:spacing w:before="53" w:after="30" w:line="300" w:lineRule="auto"/>
            </w:pPr>
            <w:r>
              <w:rPr>
                <w:color w:val="000000"/>
                <w:sz w:val="14"/>
              </w:rPr>
              <w:t>Premises and equipment</w:t>
            </w:r>
          </w:p>
        </w:tc>
        <w:tc>
          <w:tcPr>
            <w:tcW w:w="1905" w:type="dxa"/>
            <w:tcBorders>
              <w:top w:val="nil"/>
              <w:left w:val="nil"/>
              <w:bottom w:val="nil"/>
              <w:right w:val="nil"/>
            </w:tcBorders>
            <w:tcMar>
              <w:top w:w="0" w:type="dxa"/>
              <w:left w:w="0" w:type="dxa"/>
              <w:bottom w:w="0" w:type="dxa"/>
              <w:right w:w="15" w:type="dxa"/>
            </w:tcMar>
            <w:vAlign w:val="bottom"/>
          </w:tcPr>
          <w:p w14:paraId="4F90FAE9" w14:textId="77777777" w:rsidR="0008228C" w:rsidRDefault="00193375">
            <w:pPr>
              <w:keepNext/>
              <w:tabs>
                <w:tab w:val="left" w:pos="1401"/>
                <w:tab w:val="left" w:pos="1837"/>
              </w:tabs>
              <w:spacing w:before="53" w:after="30" w:line="300" w:lineRule="auto"/>
              <w:jc w:val="right"/>
            </w:pPr>
            <w:r>
              <w:rPr>
                <w:color w:val="000000"/>
                <w:sz w:val="14"/>
              </w:rPr>
              <w:tab/>
              <w:t>19,577</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7F69D88"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1B061891" w14:textId="77777777" w:rsidR="0008228C" w:rsidRDefault="00193375">
            <w:pPr>
              <w:keepNext/>
              <w:tabs>
                <w:tab w:val="left" w:pos="1401"/>
                <w:tab w:val="left" w:pos="1837"/>
              </w:tabs>
              <w:spacing w:before="53" w:after="30" w:line="300" w:lineRule="auto"/>
              <w:jc w:val="right"/>
            </w:pPr>
            <w:r>
              <w:rPr>
                <w:color w:val="000000"/>
                <w:sz w:val="14"/>
              </w:rPr>
              <w:tab/>
              <w:t>19,639</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53E921F4"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31C87F15" w14:textId="77777777" w:rsidR="0008228C" w:rsidRDefault="00193375">
            <w:pPr>
              <w:keepNext/>
              <w:tabs>
                <w:tab w:val="left" w:pos="1426"/>
                <w:tab w:val="left" w:pos="1837"/>
              </w:tabs>
              <w:spacing w:before="53" w:after="30" w:line="300" w:lineRule="auto"/>
              <w:jc w:val="right"/>
            </w:pPr>
            <w:r>
              <w:rPr>
                <w:color w:val="000000"/>
                <w:sz w:val="16"/>
              </w:rPr>
              <w:tab/>
              <w:t>6,768</w:t>
            </w:r>
            <w:r>
              <w:rPr>
                <w:color w:val="000000"/>
                <w:sz w:val="16"/>
              </w:rPr>
              <w:tab/>
            </w:r>
          </w:p>
        </w:tc>
      </w:tr>
      <w:tr w:rsidR="0008228C" w14:paraId="340E0381" w14:textId="77777777">
        <w:trPr>
          <w:cantSplit/>
          <w:trHeight w:hRule="exact" w:val="240"/>
        </w:trPr>
        <w:tc>
          <w:tcPr>
            <w:tcW w:w="4965" w:type="dxa"/>
            <w:tcBorders>
              <w:top w:val="nil"/>
              <w:left w:val="nil"/>
              <w:bottom w:val="nil"/>
              <w:right w:val="nil"/>
            </w:tcBorders>
            <w:tcMar>
              <w:top w:w="0" w:type="dxa"/>
              <w:left w:w="53" w:type="dxa"/>
              <w:bottom w:w="0" w:type="dxa"/>
              <w:right w:w="53" w:type="dxa"/>
            </w:tcMar>
            <w:vAlign w:val="bottom"/>
          </w:tcPr>
          <w:p w14:paraId="2CFCE702" w14:textId="77777777" w:rsidR="0008228C" w:rsidRDefault="00193375">
            <w:pPr>
              <w:keepNext/>
              <w:spacing w:before="53" w:after="30" w:line="300" w:lineRule="auto"/>
            </w:pPr>
            <w:r>
              <w:rPr>
                <w:color w:val="000000"/>
                <w:sz w:val="14"/>
              </w:rPr>
              <w:t>Right of use asset</w:t>
            </w:r>
          </w:p>
        </w:tc>
        <w:tc>
          <w:tcPr>
            <w:tcW w:w="1905" w:type="dxa"/>
            <w:tcBorders>
              <w:top w:val="nil"/>
              <w:left w:val="nil"/>
              <w:bottom w:val="nil"/>
              <w:right w:val="nil"/>
            </w:tcBorders>
            <w:tcMar>
              <w:top w:w="0" w:type="dxa"/>
              <w:left w:w="0" w:type="dxa"/>
              <w:bottom w:w="0" w:type="dxa"/>
              <w:right w:w="15" w:type="dxa"/>
            </w:tcMar>
            <w:vAlign w:val="bottom"/>
          </w:tcPr>
          <w:p w14:paraId="7D3708DF" w14:textId="77777777" w:rsidR="0008228C" w:rsidRDefault="00193375">
            <w:pPr>
              <w:keepNext/>
              <w:tabs>
                <w:tab w:val="left" w:pos="1471"/>
                <w:tab w:val="left" w:pos="1837"/>
              </w:tabs>
              <w:spacing w:before="53" w:after="30" w:line="300" w:lineRule="auto"/>
              <w:jc w:val="right"/>
            </w:pPr>
            <w:r>
              <w:rPr>
                <w:color w:val="000000"/>
                <w:sz w:val="14"/>
              </w:rPr>
              <w:tab/>
              <w:t>8,330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435C4859"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4650698E" w14:textId="77777777" w:rsidR="0008228C" w:rsidRDefault="00193375">
            <w:pPr>
              <w:keepNext/>
              <w:tabs>
                <w:tab w:val="left" w:pos="1471"/>
                <w:tab w:val="left" w:pos="1837"/>
              </w:tabs>
              <w:spacing w:before="53" w:after="30" w:line="300" w:lineRule="auto"/>
              <w:jc w:val="right"/>
            </w:pPr>
            <w:r>
              <w:rPr>
                <w:color w:val="000000"/>
                <w:sz w:val="14"/>
              </w:rPr>
              <w:tab/>
              <w:t>8,069</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15EE43A8"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70A63A0D" w14:textId="77777777" w:rsidR="0008228C" w:rsidRDefault="00193375">
            <w:pPr>
              <w:keepNext/>
              <w:tabs>
                <w:tab w:val="left" w:pos="1346"/>
                <w:tab w:val="left" w:pos="1837"/>
              </w:tabs>
              <w:spacing w:before="53" w:after="30" w:line="300" w:lineRule="auto"/>
              <w:jc w:val="right"/>
            </w:pPr>
            <w:r>
              <w:rPr>
                <w:color w:val="000000"/>
                <w:sz w:val="16"/>
              </w:rPr>
              <w:tab/>
              <w:t>10,990</w:t>
            </w:r>
            <w:r>
              <w:rPr>
                <w:color w:val="000000"/>
                <w:sz w:val="16"/>
              </w:rPr>
              <w:tab/>
            </w:r>
          </w:p>
        </w:tc>
      </w:tr>
      <w:tr w:rsidR="0008228C" w14:paraId="4BF1E24F"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18A92C3B" w14:textId="77777777" w:rsidR="0008228C" w:rsidRDefault="00193375">
            <w:pPr>
              <w:keepNext/>
              <w:spacing w:before="53" w:after="30" w:line="300" w:lineRule="auto"/>
            </w:pPr>
            <w:r>
              <w:rPr>
                <w:color w:val="000000"/>
                <w:sz w:val="14"/>
              </w:rPr>
              <w:t>Goodwill</w:t>
            </w:r>
          </w:p>
        </w:tc>
        <w:tc>
          <w:tcPr>
            <w:tcW w:w="1905" w:type="dxa"/>
            <w:tcBorders>
              <w:top w:val="nil"/>
              <w:left w:val="nil"/>
              <w:bottom w:val="nil"/>
              <w:right w:val="nil"/>
            </w:tcBorders>
            <w:tcMar>
              <w:top w:w="0" w:type="dxa"/>
              <w:left w:w="0" w:type="dxa"/>
              <w:bottom w:w="0" w:type="dxa"/>
              <w:right w:w="15" w:type="dxa"/>
            </w:tcMar>
            <w:vAlign w:val="bottom"/>
          </w:tcPr>
          <w:p w14:paraId="2D128809" w14:textId="77777777" w:rsidR="0008228C" w:rsidRDefault="00193375">
            <w:pPr>
              <w:keepNext/>
              <w:tabs>
                <w:tab w:val="left" w:pos="1401"/>
                <w:tab w:val="left" w:pos="1837"/>
              </w:tabs>
              <w:spacing w:before="53" w:after="30" w:line="300" w:lineRule="auto"/>
              <w:jc w:val="right"/>
            </w:pPr>
            <w:r>
              <w:rPr>
                <w:color w:val="000000"/>
                <w:sz w:val="14"/>
              </w:rPr>
              <w:tab/>
              <w:t>36,784</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3AF98861"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11F1B32E" w14:textId="77777777" w:rsidR="0008228C" w:rsidRDefault="00193375">
            <w:pPr>
              <w:keepNext/>
              <w:tabs>
                <w:tab w:val="left" w:pos="1401"/>
                <w:tab w:val="left" w:pos="1837"/>
              </w:tabs>
              <w:spacing w:before="53" w:after="30" w:line="300" w:lineRule="auto"/>
              <w:jc w:val="right"/>
            </w:pPr>
            <w:r>
              <w:rPr>
                <w:color w:val="000000"/>
                <w:sz w:val="14"/>
              </w:rPr>
              <w:tab/>
              <w:t>36,784</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00739932"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6DC8D074" w14:textId="77777777" w:rsidR="0008228C" w:rsidRDefault="00193375">
            <w:pPr>
              <w:keepNext/>
              <w:tabs>
                <w:tab w:val="left" w:pos="1346"/>
                <w:tab w:val="left" w:pos="1837"/>
              </w:tabs>
              <w:spacing w:before="53" w:after="30" w:line="300" w:lineRule="auto"/>
              <w:jc w:val="right"/>
            </w:pPr>
            <w:r>
              <w:rPr>
                <w:color w:val="000000"/>
                <w:sz w:val="16"/>
              </w:rPr>
              <w:tab/>
              <w:t>19,723</w:t>
            </w:r>
            <w:r>
              <w:rPr>
                <w:color w:val="000000"/>
                <w:sz w:val="16"/>
              </w:rPr>
              <w:tab/>
            </w:r>
          </w:p>
        </w:tc>
      </w:tr>
      <w:tr w:rsidR="0008228C" w14:paraId="4C545139" w14:textId="77777777">
        <w:trPr>
          <w:cantSplit/>
          <w:trHeight w:hRule="exact" w:val="240"/>
        </w:trPr>
        <w:tc>
          <w:tcPr>
            <w:tcW w:w="4965" w:type="dxa"/>
            <w:tcBorders>
              <w:top w:val="nil"/>
              <w:left w:val="nil"/>
              <w:bottom w:val="nil"/>
              <w:right w:val="nil"/>
            </w:tcBorders>
            <w:tcMar>
              <w:top w:w="0" w:type="dxa"/>
              <w:left w:w="53" w:type="dxa"/>
              <w:bottom w:w="0" w:type="dxa"/>
              <w:right w:w="53" w:type="dxa"/>
            </w:tcMar>
            <w:vAlign w:val="bottom"/>
          </w:tcPr>
          <w:p w14:paraId="1983D2EF" w14:textId="77777777" w:rsidR="0008228C" w:rsidRDefault="00193375">
            <w:pPr>
              <w:keepNext/>
              <w:spacing w:before="53" w:after="30" w:line="300" w:lineRule="auto"/>
            </w:pPr>
            <w:r>
              <w:rPr>
                <w:color w:val="000000"/>
                <w:sz w:val="14"/>
              </w:rPr>
              <w:t>Core deposit intangible</w:t>
            </w:r>
          </w:p>
        </w:tc>
        <w:tc>
          <w:tcPr>
            <w:tcW w:w="1905" w:type="dxa"/>
            <w:tcBorders>
              <w:top w:val="nil"/>
              <w:left w:val="nil"/>
              <w:bottom w:val="nil"/>
              <w:right w:val="nil"/>
            </w:tcBorders>
            <w:tcMar>
              <w:top w:w="0" w:type="dxa"/>
              <w:left w:w="0" w:type="dxa"/>
              <w:bottom w:w="0" w:type="dxa"/>
              <w:right w:w="15" w:type="dxa"/>
            </w:tcMar>
            <w:vAlign w:val="bottom"/>
          </w:tcPr>
          <w:p w14:paraId="713FD351" w14:textId="77777777" w:rsidR="0008228C" w:rsidRDefault="00193375">
            <w:pPr>
              <w:keepNext/>
              <w:tabs>
                <w:tab w:val="left" w:pos="1471"/>
                <w:tab w:val="left" w:pos="1837"/>
              </w:tabs>
              <w:spacing w:before="53" w:after="30" w:line="300" w:lineRule="auto"/>
              <w:jc w:val="right"/>
            </w:pPr>
            <w:r>
              <w:rPr>
                <w:color w:val="000000"/>
                <w:sz w:val="14"/>
              </w:rPr>
              <w:tab/>
              <w:t>1,923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389AC8FB"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251D1715" w14:textId="77777777" w:rsidR="0008228C" w:rsidRDefault="00193375">
            <w:pPr>
              <w:keepNext/>
              <w:tabs>
                <w:tab w:val="left" w:pos="1471"/>
                <w:tab w:val="left" w:pos="1837"/>
              </w:tabs>
              <w:spacing w:before="53" w:after="30" w:line="300" w:lineRule="auto"/>
              <w:jc w:val="right"/>
            </w:pPr>
            <w:r>
              <w:rPr>
                <w:color w:val="000000"/>
                <w:sz w:val="14"/>
              </w:rPr>
              <w:tab/>
              <w:t>2,022</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680B488F"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13EB7E2D" w14:textId="77777777" w:rsidR="0008228C" w:rsidRDefault="00193375">
            <w:pPr>
              <w:keepNext/>
              <w:tabs>
                <w:tab w:val="left" w:pos="1426"/>
                <w:tab w:val="left" w:pos="1837"/>
              </w:tabs>
              <w:spacing w:before="53" w:after="30" w:line="300" w:lineRule="auto"/>
              <w:jc w:val="right"/>
            </w:pPr>
            <w:r>
              <w:rPr>
                <w:color w:val="000000"/>
                <w:sz w:val="16"/>
              </w:rPr>
              <w:tab/>
              <w:t>1,788</w:t>
            </w:r>
            <w:r>
              <w:rPr>
                <w:color w:val="000000"/>
                <w:sz w:val="16"/>
              </w:rPr>
              <w:tab/>
            </w:r>
          </w:p>
        </w:tc>
      </w:tr>
      <w:tr w:rsidR="0008228C" w14:paraId="3454DBA6"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59BCDF7B" w14:textId="77777777" w:rsidR="0008228C" w:rsidRDefault="00193375">
            <w:pPr>
              <w:keepNext/>
              <w:spacing w:before="53" w:after="30" w:line="300" w:lineRule="auto"/>
            </w:pPr>
            <w:r>
              <w:rPr>
                <w:color w:val="000000"/>
                <w:sz w:val="14"/>
              </w:rPr>
              <w:t>Bank owned life insurance</w:t>
            </w:r>
          </w:p>
        </w:tc>
        <w:tc>
          <w:tcPr>
            <w:tcW w:w="1905" w:type="dxa"/>
            <w:tcBorders>
              <w:top w:val="nil"/>
              <w:left w:val="nil"/>
              <w:bottom w:val="nil"/>
              <w:right w:val="nil"/>
            </w:tcBorders>
            <w:tcMar>
              <w:top w:w="0" w:type="dxa"/>
              <w:left w:w="0" w:type="dxa"/>
              <w:bottom w:w="0" w:type="dxa"/>
              <w:right w:w="15" w:type="dxa"/>
            </w:tcMar>
            <w:vAlign w:val="bottom"/>
          </w:tcPr>
          <w:p w14:paraId="3DD6617A" w14:textId="77777777" w:rsidR="0008228C" w:rsidRDefault="00193375">
            <w:pPr>
              <w:keepNext/>
              <w:tabs>
                <w:tab w:val="left" w:pos="1401"/>
                <w:tab w:val="left" w:pos="1837"/>
              </w:tabs>
              <w:spacing w:before="53" w:after="30" w:line="300" w:lineRule="auto"/>
              <w:jc w:val="right"/>
            </w:pPr>
            <w:r>
              <w:rPr>
                <w:color w:val="000000"/>
                <w:sz w:val="14"/>
              </w:rPr>
              <w:tab/>
              <w:t>37,471</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4665F75"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4668F90D" w14:textId="77777777" w:rsidR="0008228C" w:rsidRDefault="00193375">
            <w:pPr>
              <w:keepNext/>
              <w:tabs>
                <w:tab w:val="left" w:pos="1401"/>
                <w:tab w:val="left" w:pos="1837"/>
              </w:tabs>
              <w:spacing w:before="53" w:after="30" w:line="300" w:lineRule="auto"/>
              <w:jc w:val="right"/>
            </w:pPr>
            <w:r>
              <w:rPr>
                <w:color w:val="000000"/>
                <w:sz w:val="14"/>
              </w:rPr>
              <w:tab/>
              <w:t>37,849</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442730A1"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2E816037" w14:textId="77777777" w:rsidR="0008228C" w:rsidRDefault="00193375">
            <w:pPr>
              <w:keepNext/>
              <w:tabs>
                <w:tab w:val="left" w:pos="1346"/>
                <w:tab w:val="left" w:pos="1837"/>
              </w:tabs>
              <w:spacing w:before="53" w:after="30" w:line="300" w:lineRule="auto"/>
              <w:jc w:val="right"/>
            </w:pPr>
            <w:r>
              <w:rPr>
                <w:color w:val="000000"/>
                <w:sz w:val="16"/>
              </w:rPr>
              <w:tab/>
              <w:t>18,093</w:t>
            </w:r>
            <w:r>
              <w:rPr>
                <w:color w:val="000000"/>
                <w:sz w:val="16"/>
              </w:rPr>
              <w:tab/>
            </w:r>
          </w:p>
        </w:tc>
      </w:tr>
      <w:tr w:rsidR="0008228C" w14:paraId="17A2BE70" w14:textId="77777777">
        <w:trPr>
          <w:cantSplit/>
          <w:trHeight w:hRule="exact" w:val="240"/>
        </w:trPr>
        <w:tc>
          <w:tcPr>
            <w:tcW w:w="4965" w:type="dxa"/>
            <w:tcBorders>
              <w:top w:val="nil"/>
              <w:left w:val="nil"/>
              <w:bottom w:val="nil"/>
              <w:right w:val="nil"/>
            </w:tcBorders>
            <w:tcMar>
              <w:top w:w="0" w:type="dxa"/>
              <w:left w:w="53" w:type="dxa"/>
              <w:bottom w:w="0" w:type="dxa"/>
              <w:right w:w="53" w:type="dxa"/>
            </w:tcMar>
            <w:vAlign w:val="bottom"/>
          </w:tcPr>
          <w:p w14:paraId="367B3597" w14:textId="77777777" w:rsidR="0008228C" w:rsidRDefault="00193375">
            <w:pPr>
              <w:keepNext/>
              <w:spacing w:before="53" w:after="30" w:line="300" w:lineRule="auto"/>
            </w:pPr>
            <w:r>
              <w:rPr>
                <w:color w:val="000000"/>
                <w:sz w:val="14"/>
              </w:rPr>
              <w:t>Deferred taxes, net</w:t>
            </w:r>
          </w:p>
        </w:tc>
        <w:tc>
          <w:tcPr>
            <w:tcW w:w="1905" w:type="dxa"/>
            <w:tcBorders>
              <w:top w:val="nil"/>
              <w:left w:val="nil"/>
              <w:bottom w:val="nil"/>
              <w:right w:val="nil"/>
            </w:tcBorders>
            <w:tcMar>
              <w:top w:w="0" w:type="dxa"/>
              <w:left w:w="0" w:type="dxa"/>
              <w:bottom w:w="0" w:type="dxa"/>
              <w:right w:w="15" w:type="dxa"/>
            </w:tcMar>
            <w:vAlign w:val="bottom"/>
          </w:tcPr>
          <w:p w14:paraId="2FC3A3DE" w14:textId="77777777" w:rsidR="0008228C" w:rsidRDefault="00193375">
            <w:pPr>
              <w:keepNext/>
              <w:tabs>
                <w:tab w:val="left" w:pos="1471"/>
                <w:tab w:val="left" w:pos="1837"/>
              </w:tabs>
              <w:spacing w:before="53" w:after="30" w:line="300" w:lineRule="auto"/>
              <w:jc w:val="right"/>
            </w:pPr>
            <w:r>
              <w:rPr>
                <w:color w:val="000000"/>
                <w:sz w:val="14"/>
              </w:rPr>
              <w:tab/>
              <w:t>7,513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F725675"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606BCC66" w14:textId="77777777" w:rsidR="0008228C" w:rsidRDefault="00193375">
            <w:pPr>
              <w:keepNext/>
              <w:tabs>
                <w:tab w:val="left" w:pos="1471"/>
                <w:tab w:val="left" w:pos="1837"/>
              </w:tabs>
              <w:spacing w:before="53" w:after="30" w:line="300" w:lineRule="auto"/>
              <w:jc w:val="right"/>
            </w:pPr>
            <w:r>
              <w:rPr>
                <w:color w:val="000000"/>
                <w:sz w:val="14"/>
              </w:rPr>
              <w:tab/>
              <w:t>5,069</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228D55AD"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231C818D" w14:textId="77777777" w:rsidR="0008228C" w:rsidRDefault="00193375">
            <w:pPr>
              <w:keepNext/>
              <w:tabs>
                <w:tab w:val="left" w:pos="1426"/>
                <w:tab w:val="left" w:pos="1837"/>
              </w:tabs>
              <w:spacing w:before="53" w:after="30" w:line="300" w:lineRule="auto"/>
              <w:jc w:val="right"/>
            </w:pPr>
            <w:r>
              <w:rPr>
                <w:color w:val="000000"/>
                <w:sz w:val="16"/>
              </w:rPr>
              <w:tab/>
              <w:t>4,224</w:t>
            </w:r>
            <w:r>
              <w:rPr>
                <w:color w:val="000000"/>
                <w:sz w:val="16"/>
              </w:rPr>
              <w:tab/>
            </w:r>
          </w:p>
        </w:tc>
      </w:tr>
      <w:tr w:rsidR="0008228C" w14:paraId="4A4E3CE8"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59709BB6" w14:textId="77777777" w:rsidR="0008228C" w:rsidRDefault="00193375">
            <w:pPr>
              <w:keepNext/>
              <w:spacing w:before="53" w:after="30" w:line="300" w:lineRule="auto"/>
            </w:pPr>
            <w:r>
              <w:rPr>
                <w:color w:val="000000"/>
                <w:sz w:val="14"/>
              </w:rPr>
              <w:t>Accrued interest and other assets</w:t>
            </w:r>
          </w:p>
        </w:tc>
        <w:tc>
          <w:tcPr>
            <w:tcW w:w="1905" w:type="dxa"/>
            <w:tcBorders>
              <w:top w:val="nil"/>
              <w:left w:val="nil"/>
              <w:bottom w:val="single" w:sz="8" w:space="0" w:color="000000"/>
              <w:right w:val="nil"/>
            </w:tcBorders>
            <w:tcMar>
              <w:top w:w="0" w:type="dxa"/>
              <w:left w:w="0" w:type="dxa"/>
              <w:bottom w:w="0" w:type="dxa"/>
              <w:right w:w="15" w:type="dxa"/>
            </w:tcMar>
            <w:vAlign w:val="bottom"/>
          </w:tcPr>
          <w:p w14:paraId="50128AD4" w14:textId="77777777" w:rsidR="0008228C" w:rsidRDefault="00193375">
            <w:pPr>
              <w:keepNext/>
              <w:tabs>
                <w:tab w:val="left" w:pos="1471"/>
                <w:tab w:val="left" w:pos="1837"/>
              </w:tabs>
              <w:spacing w:before="53" w:after="30" w:line="300" w:lineRule="auto"/>
              <w:jc w:val="right"/>
            </w:pPr>
            <w:r>
              <w:rPr>
                <w:color w:val="000000"/>
                <w:sz w:val="14"/>
              </w:rPr>
              <w:tab/>
              <w:t>9,881</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264CE90" w14:textId="77777777" w:rsidR="0008228C" w:rsidRDefault="0008228C">
            <w:pPr>
              <w:keepNext/>
              <w:spacing w:before="53" w:after="30" w:line="300" w:lineRule="auto"/>
              <w:jc w:val="righ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20556B91" w14:textId="77777777" w:rsidR="0008228C" w:rsidRDefault="00193375">
            <w:pPr>
              <w:keepNext/>
              <w:tabs>
                <w:tab w:val="left" w:pos="1471"/>
                <w:tab w:val="left" w:pos="1837"/>
              </w:tabs>
              <w:spacing w:before="53" w:after="30" w:line="300" w:lineRule="auto"/>
              <w:jc w:val="right"/>
            </w:pPr>
            <w:r>
              <w:rPr>
                <w:color w:val="000000"/>
                <w:sz w:val="14"/>
              </w:rPr>
              <w:tab/>
              <w:t>9,277</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080C59E5" w14:textId="77777777" w:rsidR="0008228C" w:rsidRDefault="0008228C">
            <w:pPr>
              <w:keepNex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5CE14CDA" w14:textId="77777777" w:rsidR="0008228C" w:rsidRDefault="00193375">
            <w:pPr>
              <w:keepNext/>
              <w:tabs>
                <w:tab w:val="left" w:pos="1346"/>
                <w:tab w:val="left" w:pos="1837"/>
              </w:tabs>
              <w:spacing w:before="53" w:after="30" w:line="300" w:lineRule="auto"/>
              <w:jc w:val="right"/>
            </w:pPr>
            <w:r>
              <w:rPr>
                <w:color w:val="000000"/>
                <w:sz w:val="16"/>
              </w:rPr>
              <w:tab/>
              <w:t>13,110</w:t>
            </w:r>
            <w:r>
              <w:rPr>
                <w:color w:val="000000"/>
                <w:sz w:val="16"/>
              </w:rPr>
              <w:tab/>
            </w:r>
          </w:p>
        </w:tc>
      </w:tr>
      <w:tr w:rsidR="0008228C" w14:paraId="16D1F19E"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368377D5" w14:textId="77777777" w:rsidR="0008228C" w:rsidRDefault="00193375">
            <w:pPr>
              <w:keepNext/>
              <w:spacing w:before="33" w:after="30" w:line="300" w:lineRule="auto"/>
              <w:ind w:left="180"/>
            </w:pPr>
            <w:r>
              <w:rPr>
                <w:color w:val="000000"/>
                <w:sz w:val="14"/>
              </w:rPr>
              <w:t>Total Assets</w:t>
            </w:r>
          </w:p>
        </w:tc>
        <w:tc>
          <w:tcPr>
            <w:tcW w:w="19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6C990144" w14:textId="77777777" w:rsidR="0008228C" w:rsidRDefault="00193375">
            <w:pPr>
              <w:keepNext/>
              <w:tabs>
                <w:tab w:val="left" w:pos="1226"/>
                <w:tab w:val="left" w:pos="1837"/>
              </w:tabs>
              <w:spacing w:before="33" w:after="30" w:line="300" w:lineRule="auto"/>
              <w:jc w:val="right"/>
            </w:pPr>
            <w:r>
              <w:rPr>
                <w:color w:val="000000"/>
                <w:sz w:val="14"/>
              </w:rPr>
              <w:t>$</w:t>
            </w:r>
            <w:r>
              <w:rPr>
                <w:color w:val="000000"/>
                <w:sz w:val="14"/>
              </w:rPr>
              <w:tab/>
              <w:t>2,297,856</w:t>
            </w:r>
            <w:r>
              <w:rPr>
                <w:color w:val="000000"/>
                <w:sz w:val="14"/>
              </w:rPr>
              <w:tab/>
            </w:r>
          </w:p>
        </w:tc>
        <w:tc>
          <w:tcPr>
            <w:tcW w:w="60" w:type="dxa"/>
            <w:tcBorders>
              <w:top w:val="nil"/>
              <w:left w:val="nil"/>
              <w:bottom w:val="nil"/>
              <w:right w:val="nil"/>
            </w:tcBorders>
            <w:tcMar>
              <w:top w:w="0" w:type="dxa"/>
              <w:left w:w="0" w:type="dxa"/>
              <w:bottom w:w="0" w:type="dxa"/>
              <w:right w:w="53" w:type="dxa"/>
            </w:tcMar>
            <w:vAlign w:val="bottom"/>
          </w:tcPr>
          <w:p w14:paraId="44D27434" w14:textId="77777777" w:rsidR="0008228C" w:rsidRDefault="0008228C">
            <w:pPr>
              <w:keepNext/>
              <w:spacing w:before="33" w:after="30" w:line="300" w:lineRule="auto"/>
              <w:jc w:val="right"/>
            </w:pPr>
          </w:p>
        </w:tc>
        <w:tc>
          <w:tcPr>
            <w:tcW w:w="19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58C0DB50" w14:textId="77777777" w:rsidR="0008228C" w:rsidRDefault="00193375">
            <w:pPr>
              <w:keepNext/>
              <w:tabs>
                <w:tab w:val="left" w:pos="1226"/>
                <w:tab w:val="left" w:pos="1837"/>
              </w:tabs>
              <w:spacing w:before="33" w:after="30" w:line="300" w:lineRule="auto"/>
              <w:jc w:val="right"/>
            </w:pPr>
            <w:r>
              <w:rPr>
                <w:color w:val="000000"/>
                <w:sz w:val="14"/>
              </w:rPr>
              <w:t>$</w:t>
            </w:r>
            <w:r>
              <w:rPr>
                <w:color w:val="000000"/>
                <w:sz w:val="14"/>
              </w:rPr>
              <w:tab/>
              <w:t>2,259,866</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79AA5F88" w14:textId="77777777" w:rsidR="0008228C" w:rsidRDefault="0008228C">
            <w:pPr>
              <w:keepNext/>
            </w:pPr>
          </w:p>
        </w:tc>
        <w:tc>
          <w:tcPr>
            <w:tcW w:w="19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181FCB96" w14:textId="77777777" w:rsidR="0008228C" w:rsidRDefault="00193375">
            <w:pPr>
              <w:keepNext/>
              <w:tabs>
                <w:tab w:val="left" w:pos="1146"/>
                <w:tab w:val="left" w:pos="1837"/>
              </w:tabs>
              <w:spacing w:before="33" w:after="30" w:line="300" w:lineRule="auto"/>
              <w:jc w:val="right"/>
            </w:pPr>
            <w:r>
              <w:rPr>
                <w:color w:val="000000"/>
                <w:sz w:val="16"/>
              </w:rPr>
              <w:t>$</w:t>
            </w:r>
            <w:r>
              <w:rPr>
                <w:color w:val="000000"/>
                <w:sz w:val="16"/>
              </w:rPr>
              <w:tab/>
              <w:t>1,673,169</w:t>
            </w:r>
            <w:r>
              <w:rPr>
                <w:color w:val="000000"/>
                <w:sz w:val="16"/>
              </w:rPr>
              <w:tab/>
            </w:r>
          </w:p>
        </w:tc>
      </w:tr>
      <w:tr w:rsidR="0008228C" w14:paraId="631506FB"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0F2EEFC0" w14:textId="77777777" w:rsidR="0008228C" w:rsidRDefault="00193375">
            <w:pPr>
              <w:keepNext/>
              <w:spacing w:after="30" w:line="300" w:lineRule="auto"/>
            </w:pPr>
            <w:r>
              <w:rPr>
                <w:color w:val="000000"/>
                <w:sz w:val="16"/>
              </w:rPr>
              <w:t> </w:t>
            </w:r>
          </w:p>
        </w:tc>
        <w:tc>
          <w:tcPr>
            <w:tcW w:w="1905" w:type="dxa"/>
            <w:tcBorders>
              <w:top w:val="double" w:sz="8" w:space="0" w:color="000000"/>
              <w:left w:val="nil"/>
              <w:bottom w:val="nil"/>
              <w:right w:val="nil"/>
            </w:tcBorders>
            <w:tcMar>
              <w:top w:w="0" w:type="dxa"/>
              <w:left w:w="0" w:type="dxa"/>
              <w:bottom w:w="0" w:type="dxa"/>
              <w:right w:w="15" w:type="dxa"/>
            </w:tcMar>
            <w:vAlign w:val="bottom"/>
          </w:tcPr>
          <w:p w14:paraId="16B058D1" w14:textId="77777777" w:rsidR="0008228C" w:rsidRDefault="0008228C">
            <w:pPr>
              <w:keepNext/>
              <w:spacing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064C0905" w14:textId="77777777" w:rsidR="0008228C" w:rsidRDefault="0008228C">
            <w:pPr>
              <w:keepNext/>
              <w:spacing w:after="30" w:line="300" w:lineRule="auto"/>
              <w:jc w:val="right"/>
            </w:pPr>
          </w:p>
        </w:tc>
        <w:tc>
          <w:tcPr>
            <w:tcW w:w="1905" w:type="dxa"/>
            <w:tcBorders>
              <w:top w:val="double" w:sz="8" w:space="0" w:color="000000"/>
              <w:left w:val="nil"/>
              <w:bottom w:val="nil"/>
              <w:right w:val="nil"/>
            </w:tcBorders>
            <w:tcMar>
              <w:top w:w="0" w:type="dxa"/>
              <w:left w:w="0" w:type="dxa"/>
              <w:bottom w:w="0" w:type="dxa"/>
              <w:right w:w="15" w:type="dxa"/>
            </w:tcMar>
            <w:vAlign w:val="bottom"/>
          </w:tcPr>
          <w:p w14:paraId="2E02B60C" w14:textId="77777777" w:rsidR="0008228C" w:rsidRDefault="0008228C">
            <w:pPr>
              <w:keepNext/>
              <w:spacing w:after="30"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390EAACC" w14:textId="77777777" w:rsidR="0008228C" w:rsidRDefault="0008228C">
            <w:pPr>
              <w:keepNext/>
            </w:pPr>
          </w:p>
        </w:tc>
        <w:tc>
          <w:tcPr>
            <w:tcW w:w="1905" w:type="dxa"/>
            <w:tcBorders>
              <w:top w:val="double" w:sz="8" w:space="0" w:color="000000"/>
              <w:left w:val="nil"/>
              <w:bottom w:val="nil"/>
              <w:right w:val="nil"/>
            </w:tcBorders>
            <w:tcMar>
              <w:top w:w="0" w:type="dxa"/>
              <w:left w:w="0" w:type="dxa"/>
              <w:bottom w:w="0" w:type="dxa"/>
              <w:right w:w="15" w:type="dxa"/>
            </w:tcMar>
            <w:vAlign w:val="bottom"/>
          </w:tcPr>
          <w:p w14:paraId="02BB360B" w14:textId="77777777" w:rsidR="0008228C" w:rsidRDefault="0008228C">
            <w:pPr>
              <w:keepNext/>
              <w:spacing w:after="30" w:line="300" w:lineRule="auto"/>
              <w:jc w:val="right"/>
            </w:pPr>
          </w:p>
        </w:tc>
      </w:tr>
      <w:tr w:rsidR="0008228C" w14:paraId="031C4A96"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38B9B3DD" w14:textId="77777777" w:rsidR="0008228C" w:rsidRDefault="00193375">
            <w:pPr>
              <w:keepNext/>
              <w:spacing w:before="53" w:after="30" w:line="300" w:lineRule="auto"/>
            </w:pPr>
            <w:r>
              <w:rPr>
                <w:b/>
                <w:color w:val="000000"/>
                <w:sz w:val="14"/>
              </w:rPr>
              <w:t>LIABILITIES AND SHAREHOLDERS' EQUITY</w:t>
            </w:r>
          </w:p>
        </w:tc>
        <w:tc>
          <w:tcPr>
            <w:tcW w:w="1905" w:type="dxa"/>
            <w:tcBorders>
              <w:top w:val="nil"/>
              <w:left w:val="nil"/>
              <w:bottom w:val="nil"/>
              <w:right w:val="nil"/>
            </w:tcBorders>
            <w:tcMar>
              <w:top w:w="0" w:type="dxa"/>
              <w:left w:w="0" w:type="dxa"/>
              <w:bottom w:w="0" w:type="dxa"/>
              <w:right w:w="15" w:type="dxa"/>
            </w:tcMar>
            <w:vAlign w:val="bottom"/>
          </w:tcPr>
          <w:p w14:paraId="4735E63F" w14:textId="77777777" w:rsidR="0008228C" w:rsidRDefault="00193375">
            <w:pPr>
              <w:keepNext/>
              <w:spacing w:before="53" w:after="30" w:line="300" w:lineRule="auto"/>
              <w:jc w:val="right"/>
            </w:pPr>
            <w:r>
              <w:rPr>
                <w:color w:val="000000"/>
                <w:sz w:val="14"/>
              </w:rPr>
              <w:t> </w:t>
            </w:r>
          </w:p>
        </w:tc>
        <w:tc>
          <w:tcPr>
            <w:tcW w:w="60" w:type="dxa"/>
            <w:tcBorders>
              <w:top w:val="nil"/>
              <w:left w:val="nil"/>
              <w:bottom w:val="nil"/>
              <w:right w:val="nil"/>
            </w:tcBorders>
            <w:tcMar>
              <w:top w:w="0" w:type="dxa"/>
              <w:left w:w="0" w:type="dxa"/>
              <w:bottom w:w="0" w:type="dxa"/>
              <w:right w:w="0" w:type="dxa"/>
            </w:tcMar>
            <w:vAlign w:val="bottom"/>
          </w:tcPr>
          <w:p w14:paraId="79CEEB3B"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1223294D" w14:textId="77777777" w:rsidR="0008228C" w:rsidRDefault="00193375">
            <w:pPr>
              <w:keepNext/>
              <w:spacing w:before="53" w:after="30" w:line="300" w:lineRule="auto"/>
              <w:jc w:val="right"/>
            </w:pPr>
            <w:r>
              <w:rPr>
                <w:color w:val="000000"/>
                <w:sz w:val="14"/>
              </w:rPr>
              <w:t> </w:t>
            </w:r>
          </w:p>
        </w:tc>
        <w:tc>
          <w:tcPr>
            <w:tcW w:w="60" w:type="dxa"/>
            <w:tcBorders>
              <w:top w:val="nil"/>
              <w:left w:val="nil"/>
              <w:bottom w:val="nil"/>
              <w:right w:val="nil"/>
            </w:tcBorders>
            <w:tcMar>
              <w:top w:w="0" w:type="dxa"/>
              <w:left w:w="0" w:type="dxa"/>
              <w:bottom w:w="0" w:type="dxa"/>
              <w:right w:w="0" w:type="dxa"/>
            </w:tcMar>
            <w:vAlign w:val="bottom"/>
          </w:tcPr>
          <w:p w14:paraId="69F433FB" w14:textId="77777777" w:rsidR="0008228C" w:rsidRDefault="0008228C">
            <w:pPr>
              <w:keepNext/>
            </w:pPr>
          </w:p>
        </w:tc>
        <w:tc>
          <w:tcPr>
            <w:tcW w:w="1905" w:type="dxa"/>
            <w:tcBorders>
              <w:top w:val="nil"/>
              <w:left w:val="nil"/>
              <w:bottom w:val="nil"/>
              <w:right w:val="nil"/>
            </w:tcBorders>
            <w:tcMar>
              <w:top w:w="0" w:type="dxa"/>
              <w:left w:w="0" w:type="dxa"/>
              <w:bottom w:w="0" w:type="dxa"/>
              <w:right w:w="0" w:type="dxa"/>
            </w:tcMar>
            <w:vAlign w:val="bottom"/>
          </w:tcPr>
          <w:p w14:paraId="587B0930" w14:textId="77777777" w:rsidR="0008228C" w:rsidRDefault="0008228C">
            <w:pPr>
              <w:keepNext/>
            </w:pPr>
          </w:p>
        </w:tc>
      </w:tr>
      <w:tr w:rsidR="0008228C" w14:paraId="04C67C3B"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6F660F4A" w14:textId="77777777" w:rsidR="0008228C" w:rsidRDefault="00193375">
            <w:pPr>
              <w:keepNext/>
              <w:spacing w:before="53" w:after="30" w:line="300" w:lineRule="auto"/>
            </w:pPr>
            <w:r>
              <w:rPr>
                <w:b/>
                <w:color w:val="000000"/>
                <w:sz w:val="14"/>
              </w:rPr>
              <w:t>Deposits:</w:t>
            </w:r>
          </w:p>
        </w:tc>
        <w:tc>
          <w:tcPr>
            <w:tcW w:w="1905" w:type="dxa"/>
            <w:tcBorders>
              <w:top w:val="nil"/>
              <w:left w:val="nil"/>
              <w:bottom w:val="nil"/>
              <w:right w:val="nil"/>
            </w:tcBorders>
            <w:tcMar>
              <w:top w:w="0" w:type="dxa"/>
              <w:left w:w="0" w:type="dxa"/>
              <w:bottom w:w="0" w:type="dxa"/>
              <w:right w:w="15" w:type="dxa"/>
            </w:tcMar>
            <w:vAlign w:val="bottom"/>
          </w:tcPr>
          <w:p w14:paraId="39658FEF" w14:textId="77777777" w:rsidR="0008228C" w:rsidRDefault="00193375">
            <w:pPr>
              <w:keepNext/>
              <w:spacing w:before="53" w:after="30" w:line="300" w:lineRule="auto"/>
              <w:jc w:val="right"/>
            </w:pPr>
            <w:r>
              <w:rPr>
                <w:color w:val="000000"/>
                <w:sz w:val="14"/>
              </w:rPr>
              <w:t> </w:t>
            </w:r>
          </w:p>
        </w:tc>
        <w:tc>
          <w:tcPr>
            <w:tcW w:w="60" w:type="dxa"/>
            <w:tcBorders>
              <w:top w:val="nil"/>
              <w:left w:val="nil"/>
              <w:bottom w:val="nil"/>
              <w:right w:val="nil"/>
            </w:tcBorders>
            <w:tcMar>
              <w:top w:w="0" w:type="dxa"/>
              <w:left w:w="0" w:type="dxa"/>
              <w:bottom w:w="0" w:type="dxa"/>
              <w:right w:w="0" w:type="dxa"/>
            </w:tcMar>
            <w:vAlign w:val="bottom"/>
          </w:tcPr>
          <w:p w14:paraId="084F8C95"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6ED0F1EA" w14:textId="77777777" w:rsidR="0008228C" w:rsidRDefault="00193375">
            <w:pPr>
              <w:keepNext/>
              <w:spacing w:before="53" w:after="30" w:line="300" w:lineRule="auto"/>
              <w:jc w:val="right"/>
            </w:pPr>
            <w:r>
              <w:rPr>
                <w:color w:val="000000"/>
                <w:sz w:val="14"/>
              </w:rPr>
              <w:t> </w:t>
            </w:r>
          </w:p>
        </w:tc>
        <w:tc>
          <w:tcPr>
            <w:tcW w:w="60" w:type="dxa"/>
            <w:tcBorders>
              <w:top w:val="nil"/>
              <w:left w:val="nil"/>
              <w:bottom w:val="nil"/>
              <w:right w:val="nil"/>
            </w:tcBorders>
            <w:tcMar>
              <w:top w:w="0" w:type="dxa"/>
              <w:left w:w="0" w:type="dxa"/>
              <w:bottom w:w="0" w:type="dxa"/>
              <w:right w:w="0" w:type="dxa"/>
            </w:tcMar>
            <w:vAlign w:val="bottom"/>
          </w:tcPr>
          <w:p w14:paraId="60DD8A47" w14:textId="77777777" w:rsidR="0008228C" w:rsidRDefault="0008228C">
            <w:pPr>
              <w:keepNext/>
            </w:pPr>
          </w:p>
        </w:tc>
        <w:tc>
          <w:tcPr>
            <w:tcW w:w="1905" w:type="dxa"/>
            <w:tcBorders>
              <w:top w:val="nil"/>
              <w:left w:val="nil"/>
              <w:bottom w:val="nil"/>
              <w:right w:val="nil"/>
            </w:tcBorders>
            <w:tcMar>
              <w:top w:w="0" w:type="dxa"/>
              <w:left w:w="0" w:type="dxa"/>
              <w:bottom w:w="0" w:type="dxa"/>
              <w:right w:w="0" w:type="dxa"/>
            </w:tcMar>
            <w:vAlign w:val="bottom"/>
          </w:tcPr>
          <w:p w14:paraId="2E0EB1C4" w14:textId="77777777" w:rsidR="0008228C" w:rsidRDefault="0008228C">
            <w:pPr>
              <w:keepNext/>
            </w:pPr>
          </w:p>
        </w:tc>
      </w:tr>
      <w:tr w:rsidR="0008228C" w14:paraId="645D64A8"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4D98969C" w14:textId="77777777" w:rsidR="0008228C" w:rsidRDefault="00193375">
            <w:pPr>
              <w:keepNext/>
              <w:spacing w:before="53" w:after="30" w:line="300" w:lineRule="auto"/>
              <w:ind w:left="180"/>
            </w:pPr>
            <w:r>
              <w:rPr>
                <w:color w:val="000000"/>
                <w:sz w:val="14"/>
              </w:rPr>
              <w:t>Noninterest-bearing demand</w:t>
            </w:r>
          </w:p>
        </w:tc>
        <w:tc>
          <w:tcPr>
            <w:tcW w:w="1905" w:type="dxa"/>
            <w:tcBorders>
              <w:top w:val="nil"/>
              <w:left w:val="nil"/>
              <w:bottom w:val="nil"/>
              <w:right w:val="nil"/>
            </w:tcBorders>
            <w:tcMar>
              <w:top w:w="0" w:type="dxa"/>
              <w:left w:w="0" w:type="dxa"/>
              <w:bottom w:w="0" w:type="dxa"/>
              <w:right w:w="15" w:type="dxa"/>
            </w:tcMar>
            <w:vAlign w:val="bottom"/>
          </w:tcPr>
          <w:p w14:paraId="71D6BAD5" w14:textId="77777777" w:rsidR="0008228C" w:rsidRDefault="00193375">
            <w:pPr>
              <w:keepNext/>
              <w:tabs>
                <w:tab w:val="left" w:pos="1226"/>
                <w:tab w:val="left" w:pos="1837"/>
              </w:tabs>
              <w:spacing w:before="53" w:after="30" w:line="300" w:lineRule="auto"/>
              <w:jc w:val="right"/>
            </w:pPr>
            <w:r>
              <w:rPr>
                <w:color w:val="000000"/>
                <w:sz w:val="14"/>
              </w:rPr>
              <w:t>$</w:t>
            </w:r>
            <w:r>
              <w:rPr>
                <w:color w:val="000000"/>
                <w:sz w:val="14"/>
              </w:rPr>
              <w:tab/>
              <w:t>1,032,133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5CA6740"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50E7F56A" w14:textId="77777777" w:rsidR="0008228C" w:rsidRDefault="00193375">
            <w:pPr>
              <w:keepNext/>
              <w:tabs>
                <w:tab w:val="left" w:pos="1331"/>
                <w:tab w:val="left" w:pos="1837"/>
              </w:tabs>
              <w:spacing w:before="53" w:after="30" w:line="300" w:lineRule="auto"/>
              <w:jc w:val="right"/>
            </w:pPr>
            <w:r>
              <w:rPr>
                <w:color w:val="000000"/>
                <w:sz w:val="14"/>
              </w:rPr>
              <w:t>$</w:t>
            </w:r>
            <w:r>
              <w:rPr>
                <w:color w:val="000000"/>
                <w:sz w:val="14"/>
              </w:rPr>
              <w:tab/>
              <w:t>986,935</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6DBEC450"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4A7E24FA" w14:textId="77777777" w:rsidR="0008228C" w:rsidRDefault="00193375">
            <w:pPr>
              <w:keepNext/>
              <w:tabs>
                <w:tab w:val="left" w:pos="1266"/>
                <w:tab w:val="left" w:pos="1837"/>
              </w:tabs>
              <w:spacing w:before="53" w:after="30" w:line="300" w:lineRule="auto"/>
              <w:jc w:val="right"/>
            </w:pPr>
            <w:r>
              <w:rPr>
                <w:color w:val="000000"/>
                <w:sz w:val="16"/>
              </w:rPr>
              <w:t>$</w:t>
            </w:r>
            <w:r>
              <w:rPr>
                <w:color w:val="000000"/>
                <w:sz w:val="16"/>
              </w:rPr>
              <w:tab/>
              <w:t>703,061</w:t>
            </w:r>
            <w:r>
              <w:rPr>
                <w:color w:val="000000"/>
                <w:sz w:val="16"/>
              </w:rPr>
              <w:tab/>
            </w:r>
          </w:p>
        </w:tc>
      </w:tr>
      <w:tr w:rsidR="0008228C" w14:paraId="5716BDD7"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6DEB7910" w14:textId="77777777" w:rsidR="0008228C" w:rsidRDefault="00193375">
            <w:pPr>
              <w:keepNext/>
              <w:spacing w:before="53" w:after="30" w:line="300" w:lineRule="auto"/>
              <w:ind w:left="180"/>
            </w:pPr>
            <w:r>
              <w:rPr>
                <w:color w:val="000000"/>
                <w:sz w:val="14"/>
              </w:rPr>
              <w:t>Interest bearing NOW accounts</w:t>
            </w:r>
          </w:p>
        </w:tc>
        <w:tc>
          <w:tcPr>
            <w:tcW w:w="1905" w:type="dxa"/>
            <w:tcBorders>
              <w:top w:val="nil"/>
              <w:left w:val="nil"/>
              <w:bottom w:val="nil"/>
              <w:right w:val="nil"/>
            </w:tcBorders>
            <w:tcMar>
              <w:top w:w="0" w:type="dxa"/>
              <w:left w:w="0" w:type="dxa"/>
              <w:bottom w:w="0" w:type="dxa"/>
              <w:right w:w="15" w:type="dxa"/>
            </w:tcMar>
            <w:vAlign w:val="bottom"/>
          </w:tcPr>
          <w:p w14:paraId="7D905A90" w14:textId="77777777" w:rsidR="0008228C" w:rsidRDefault="00193375">
            <w:pPr>
              <w:keepNext/>
              <w:tabs>
                <w:tab w:val="left" w:pos="1331"/>
                <w:tab w:val="left" w:pos="1837"/>
              </w:tabs>
              <w:spacing w:before="53" w:after="30" w:line="300" w:lineRule="auto"/>
              <w:jc w:val="right"/>
            </w:pPr>
            <w:r>
              <w:rPr>
                <w:color w:val="000000"/>
                <w:sz w:val="14"/>
              </w:rPr>
              <w:tab/>
              <w:t>195,812</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25EF3AFA"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65B65B9D" w14:textId="77777777" w:rsidR="0008228C" w:rsidRDefault="00193375">
            <w:pPr>
              <w:keepNext/>
              <w:tabs>
                <w:tab w:val="left" w:pos="1331"/>
                <w:tab w:val="left" w:pos="1837"/>
              </w:tabs>
              <w:spacing w:before="53" w:after="30" w:line="300" w:lineRule="auto"/>
              <w:jc w:val="right"/>
            </w:pPr>
            <w:r>
              <w:rPr>
                <w:color w:val="000000"/>
                <w:sz w:val="14"/>
              </w:rPr>
              <w:tab/>
              <w:t>193,525</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1FE58B3A"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441AE6D8" w14:textId="77777777" w:rsidR="0008228C" w:rsidRDefault="00193375">
            <w:pPr>
              <w:keepNext/>
              <w:tabs>
                <w:tab w:val="left" w:pos="1266"/>
                <w:tab w:val="left" w:pos="1837"/>
              </w:tabs>
              <w:spacing w:before="53" w:after="30" w:line="300" w:lineRule="auto"/>
              <w:jc w:val="right"/>
            </w:pPr>
            <w:r>
              <w:rPr>
                <w:color w:val="000000"/>
                <w:sz w:val="16"/>
              </w:rPr>
              <w:tab/>
              <w:t>119,367</w:t>
            </w:r>
            <w:r>
              <w:rPr>
                <w:color w:val="000000"/>
                <w:sz w:val="16"/>
              </w:rPr>
              <w:tab/>
            </w:r>
          </w:p>
        </w:tc>
      </w:tr>
      <w:tr w:rsidR="0008228C" w14:paraId="32957E94"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1E7DC4FD" w14:textId="77777777" w:rsidR="0008228C" w:rsidRDefault="00193375">
            <w:pPr>
              <w:keepNext/>
              <w:spacing w:before="53" w:after="30" w:line="300" w:lineRule="auto"/>
              <w:ind w:left="180"/>
            </w:pPr>
            <w:r>
              <w:rPr>
                <w:color w:val="000000"/>
                <w:sz w:val="14"/>
              </w:rPr>
              <w:t>Money market and savings accounts</w:t>
            </w:r>
          </w:p>
        </w:tc>
        <w:tc>
          <w:tcPr>
            <w:tcW w:w="1905" w:type="dxa"/>
            <w:tcBorders>
              <w:top w:val="nil"/>
              <w:left w:val="nil"/>
              <w:bottom w:val="nil"/>
              <w:right w:val="nil"/>
            </w:tcBorders>
            <w:tcMar>
              <w:top w:w="0" w:type="dxa"/>
              <w:left w:w="0" w:type="dxa"/>
              <w:bottom w:w="0" w:type="dxa"/>
              <w:right w:w="15" w:type="dxa"/>
            </w:tcMar>
            <w:vAlign w:val="bottom"/>
          </w:tcPr>
          <w:p w14:paraId="59FAD641" w14:textId="77777777" w:rsidR="0008228C" w:rsidRDefault="00193375">
            <w:pPr>
              <w:keepNext/>
              <w:tabs>
                <w:tab w:val="left" w:pos="1331"/>
                <w:tab w:val="left" w:pos="1837"/>
              </w:tabs>
              <w:spacing w:before="53" w:after="30" w:line="300" w:lineRule="auto"/>
              <w:jc w:val="right"/>
            </w:pPr>
            <w:r>
              <w:rPr>
                <w:color w:val="000000"/>
                <w:sz w:val="14"/>
              </w:rPr>
              <w:tab/>
              <w:t>692,948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6FA6C3C"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5016ED7F" w14:textId="77777777" w:rsidR="0008228C" w:rsidRDefault="00193375">
            <w:pPr>
              <w:keepNext/>
              <w:tabs>
                <w:tab w:val="left" w:pos="1331"/>
                <w:tab w:val="left" w:pos="1837"/>
              </w:tabs>
              <w:spacing w:before="53" w:after="30" w:line="300" w:lineRule="auto"/>
              <w:jc w:val="right"/>
            </w:pPr>
            <w:r>
              <w:rPr>
                <w:color w:val="000000"/>
                <w:sz w:val="14"/>
              </w:rPr>
              <w:tab/>
              <w:t>690,348</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1AA207B7"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550EC481" w14:textId="77777777" w:rsidR="0008228C" w:rsidRDefault="00193375">
            <w:pPr>
              <w:keepNext/>
              <w:tabs>
                <w:tab w:val="left" w:pos="1266"/>
                <w:tab w:val="left" w:pos="1837"/>
              </w:tabs>
              <w:spacing w:before="53" w:after="30" w:line="300" w:lineRule="auto"/>
              <w:jc w:val="right"/>
            </w:pPr>
            <w:r>
              <w:rPr>
                <w:color w:val="000000"/>
                <w:sz w:val="16"/>
              </w:rPr>
              <w:tab/>
              <w:t>520,487</w:t>
            </w:r>
            <w:r>
              <w:rPr>
                <w:color w:val="000000"/>
                <w:sz w:val="16"/>
              </w:rPr>
              <w:tab/>
            </w:r>
          </w:p>
        </w:tc>
      </w:tr>
      <w:tr w:rsidR="0008228C" w14:paraId="5A6E1991"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2C25B4F4" w14:textId="77777777" w:rsidR="0008228C" w:rsidRDefault="00193375">
            <w:pPr>
              <w:keepNext/>
              <w:spacing w:before="53" w:after="30" w:line="300" w:lineRule="auto"/>
              <w:ind w:left="180"/>
            </w:pPr>
            <w:r>
              <w:rPr>
                <w:color w:val="000000"/>
                <w:sz w:val="14"/>
              </w:rPr>
              <w:t>Time deposits</w:t>
            </w:r>
          </w:p>
        </w:tc>
        <w:tc>
          <w:tcPr>
            <w:tcW w:w="1905" w:type="dxa"/>
            <w:tcBorders>
              <w:top w:val="nil"/>
              <w:left w:val="nil"/>
              <w:bottom w:val="single" w:sz="8" w:space="0" w:color="000000"/>
              <w:right w:val="nil"/>
            </w:tcBorders>
            <w:tcMar>
              <w:top w:w="0" w:type="dxa"/>
              <w:left w:w="0" w:type="dxa"/>
              <w:bottom w:w="0" w:type="dxa"/>
              <w:right w:w="15" w:type="dxa"/>
            </w:tcMar>
            <w:vAlign w:val="bottom"/>
          </w:tcPr>
          <w:p w14:paraId="3D9BCF87" w14:textId="77777777" w:rsidR="0008228C" w:rsidRDefault="00193375">
            <w:pPr>
              <w:keepNext/>
              <w:tabs>
                <w:tab w:val="left" w:pos="1401"/>
                <w:tab w:val="left" w:pos="1837"/>
              </w:tabs>
              <w:spacing w:before="53" w:after="30" w:line="300" w:lineRule="auto"/>
              <w:jc w:val="right"/>
            </w:pPr>
            <w:r>
              <w:rPr>
                <w:color w:val="000000"/>
                <w:sz w:val="14"/>
              </w:rPr>
              <w:tab/>
              <w:t>92,025</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D75548C" w14:textId="77777777" w:rsidR="0008228C" w:rsidRDefault="0008228C">
            <w:pPr>
              <w:keepNext/>
              <w:spacing w:before="53" w:after="30" w:line="300" w:lineRule="auto"/>
              <w:jc w:val="righ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393944EB" w14:textId="77777777" w:rsidR="0008228C" w:rsidRDefault="00193375">
            <w:pPr>
              <w:keepNext/>
              <w:tabs>
                <w:tab w:val="left" w:pos="1331"/>
                <w:tab w:val="left" w:pos="1837"/>
              </w:tabs>
              <w:spacing w:before="53" w:after="30" w:line="300" w:lineRule="auto"/>
              <w:jc w:val="right"/>
            </w:pPr>
            <w:r>
              <w:rPr>
                <w:color w:val="000000"/>
                <w:sz w:val="14"/>
              </w:rPr>
              <w:tab/>
              <w:t>102,290</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6515BED7" w14:textId="77777777" w:rsidR="0008228C" w:rsidRDefault="0008228C">
            <w:pPr>
              <w:keepNex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0E472549" w14:textId="77777777" w:rsidR="0008228C" w:rsidRDefault="00193375">
            <w:pPr>
              <w:keepNext/>
              <w:tabs>
                <w:tab w:val="left" w:pos="1266"/>
                <w:tab w:val="left" w:pos="1837"/>
              </w:tabs>
              <w:spacing w:before="53" w:after="30" w:line="300" w:lineRule="auto"/>
              <w:jc w:val="right"/>
            </w:pPr>
            <w:r>
              <w:rPr>
                <w:color w:val="000000"/>
                <w:sz w:val="16"/>
              </w:rPr>
              <w:tab/>
              <w:t>110,459</w:t>
            </w:r>
            <w:r>
              <w:rPr>
                <w:color w:val="000000"/>
                <w:sz w:val="16"/>
              </w:rPr>
              <w:tab/>
            </w:r>
          </w:p>
        </w:tc>
      </w:tr>
      <w:tr w:rsidR="0008228C" w14:paraId="76AECBA1"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4CD7A46B" w14:textId="77777777" w:rsidR="0008228C" w:rsidRDefault="00193375">
            <w:pPr>
              <w:keepNext/>
              <w:spacing w:before="33" w:after="30" w:line="300" w:lineRule="auto"/>
            </w:pPr>
            <w:r>
              <w:rPr>
                <w:color w:val="000000"/>
                <w:sz w:val="14"/>
              </w:rPr>
              <w:t>Total deposits</w:t>
            </w:r>
          </w:p>
        </w:tc>
        <w:tc>
          <w:tcPr>
            <w:tcW w:w="1905" w:type="dxa"/>
            <w:tcBorders>
              <w:top w:val="single" w:sz="8" w:space="0" w:color="000000"/>
              <w:left w:val="nil"/>
              <w:bottom w:val="nil"/>
              <w:right w:val="nil"/>
            </w:tcBorders>
            <w:tcMar>
              <w:top w:w="0" w:type="dxa"/>
              <w:left w:w="0" w:type="dxa"/>
              <w:bottom w:w="0" w:type="dxa"/>
              <w:right w:w="15" w:type="dxa"/>
            </w:tcMar>
            <w:vAlign w:val="bottom"/>
          </w:tcPr>
          <w:p w14:paraId="07CB876C" w14:textId="77777777" w:rsidR="0008228C" w:rsidRDefault="00193375">
            <w:pPr>
              <w:keepNext/>
              <w:tabs>
                <w:tab w:val="left" w:pos="1226"/>
                <w:tab w:val="left" w:pos="1837"/>
              </w:tabs>
              <w:spacing w:before="33" w:after="30" w:line="300" w:lineRule="auto"/>
              <w:jc w:val="right"/>
            </w:pPr>
            <w:r>
              <w:rPr>
                <w:color w:val="000000"/>
                <w:sz w:val="14"/>
              </w:rPr>
              <w:tab/>
              <w:t>2,012,918</w:t>
            </w:r>
            <w:r>
              <w:rPr>
                <w:color w:val="000000"/>
                <w:sz w:val="14"/>
              </w:rPr>
              <w:tab/>
            </w:r>
          </w:p>
        </w:tc>
        <w:tc>
          <w:tcPr>
            <w:tcW w:w="60" w:type="dxa"/>
            <w:tcBorders>
              <w:top w:val="nil"/>
              <w:left w:val="nil"/>
              <w:bottom w:val="nil"/>
              <w:right w:val="nil"/>
            </w:tcBorders>
            <w:tcMar>
              <w:top w:w="0" w:type="dxa"/>
              <w:left w:w="0" w:type="dxa"/>
              <w:bottom w:w="0" w:type="dxa"/>
              <w:right w:w="53" w:type="dxa"/>
            </w:tcMar>
            <w:vAlign w:val="bottom"/>
          </w:tcPr>
          <w:p w14:paraId="2616F8F4" w14:textId="77777777" w:rsidR="0008228C" w:rsidRDefault="0008228C">
            <w:pPr>
              <w:keepNext/>
              <w:spacing w:before="33" w:after="30" w:line="300" w:lineRule="auto"/>
              <w:jc w:val="righ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5A595D64" w14:textId="77777777" w:rsidR="0008228C" w:rsidRDefault="00193375">
            <w:pPr>
              <w:keepNext/>
              <w:tabs>
                <w:tab w:val="left" w:pos="1226"/>
                <w:tab w:val="left" w:pos="1837"/>
              </w:tabs>
              <w:spacing w:before="33" w:after="30" w:line="300" w:lineRule="auto"/>
              <w:jc w:val="right"/>
            </w:pPr>
            <w:r>
              <w:rPr>
                <w:color w:val="000000"/>
                <w:sz w:val="14"/>
              </w:rPr>
              <w:tab/>
              <w:t>1,973,098</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31609A5F" w14:textId="77777777" w:rsidR="0008228C" w:rsidRDefault="0008228C">
            <w:pPr>
              <w:keepNex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620F0E91" w14:textId="77777777" w:rsidR="0008228C" w:rsidRDefault="00193375">
            <w:pPr>
              <w:keepNext/>
              <w:tabs>
                <w:tab w:val="left" w:pos="1146"/>
                <w:tab w:val="left" w:pos="1837"/>
              </w:tabs>
              <w:spacing w:before="33" w:after="30" w:line="300" w:lineRule="auto"/>
              <w:jc w:val="right"/>
            </w:pPr>
            <w:r>
              <w:rPr>
                <w:color w:val="000000"/>
                <w:sz w:val="16"/>
              </w:rPr>
              <w:tab/>
              <w:t>1,453,374</w:t>
            </w:r>
            <w:r>
              <w:rPr>
                <w:color w:val="000000"/>
                <w:sz w:val="16"/>
              </w:rPr>
              <w:tab/>
            </w:r>
          </w:p>
        </w:tc>
      </w:tr>
      <w:tr w:rsidR="0008228C" w14:paraId="7BF37651"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2AC6E277" w14:textId="77777777" w:rsidR="0008228C" w:rsidRDefault="00193375">
            <w:pPr>
              <w:keepNext/>
              <w:spacing w:before="53" w:after="30" w:line="300" w:lineRule="auto"/>
            </w:pPr>
            <w:r>
              <w:rPr>
                <w:color w:val="000000"/>
                <w:sz w:val="16"/>
              </w:rPr>
              <w:t> </w:t>
            </w:r>
          </w:p>
        </w:tc>
        <w:tc>
          <w:tcPr>
            <w:tcW w:w="1905" w:type="dxa"/>
            <w:tcBorders>
              <w:top w:val="nil"/>
              <w:left w:val="nil"/>
              <w:bottom w:val="nil"/>
              <w:right w:val="nil"/>
            </w:tcBorders>
            <w:tcMar>
              <w:top w:w="0" w:type="dxa"/>
              <w:left w:w="0" w:type="dxa"/>
              <w:bottom w:w="0" w:type="dxa"/>
              <w:right w:w="15" w:type="dxa"/>
            </w:tcMar>
            <w:vAlign w:val="bottom"/>
          </w:tcPr>
          <w:p w14:paraId="2AEAB630" w14:textId="77777777" w:rsidR="0008228C" w:rsidRDefault="00193375">
            <w:pPr>
              <w:keepNext/>
              <w:spacing w:before="5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095C29CE"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2FBC7990" w14:textId="77777777" w:rsidR="0008228C" w:rsidRDefault="00193375">
            <w:pPr>
              <w:keepNext/>
              <w:spacing w:before="5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6C9045DA" w14:textId="77777777" w:rsidR="0008228C" w:rsidRDefault="0008228C">
            <w:pPr>
              <w:keepNext/>
            </w:pPr>
          </w:p>
        </w:tc>
        <w:tc>
          <w:tcPr>
            <w:tcW w:w="1905" w:type="dxa"/>
            <w:tcBorders>
              <w:top w:val="nil"/>
              <w:left w:val="nil"/>
              <w:bottom w:val="nil"/>
              <w:right w:val="nil"/>
            </w:tcBorders>
            <w:tcMar>
              <w:top w:w="0" w:type="dxa"/>
              <w:left w:w="0" w:type="dxa"/>
              <w:bottom w:w="0" w:type="dxa"/>
              <w:right w:w="53" w:type="dxa"/>
            </w:tcMar>
            <w:vAlign w:val="bottom"/>
          </w:tcPr>
          <w:p w14:paraId="75D4B367" w14:textId="77777777" w:rsidR="0008228C" w:rsidRDefault="0008228C">
            <w:pPr>
              <w:keepNext/>
              <w:spacing w:before="53" w:after="30" w:line="300" w:lineRule="auto"/>
              <w:jc w:val="right"/>
            </w:pPr>
          </w:p>
        </w:tc>
      </w:tr>
      <w:tr w:rsidR="0008228C" w14:paraId="044048D2"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460F0407" w14:textId="77777777" w:rsidR="0008228C" w:rsidRDefault="00193375">
            <w:pPr>
              <w:keepNext/>
              <w:spacing w:before="53" w:after="30" w:line="300" w:lineRule="auto"/>
            </w:pPr>
            <w:r>
              <w:rPr>
                <w:color w:val="000000"/>
                <w:sz w:val="14"/>
              </w:rPr>
              <w:t>Borrowings</w:t>
            </w:r>
          </w:p>
        </w:tc>
        <w:tc>
          <w:tcPr>
            <w:tcW w:w="1905" w:type="dxa"/>
            <w:tcBorders>
              <w:top w:val="nil"/>
              <w:left w:val="nil"/>
              <w:bottom w:val="nil"/>
              <w:right w:val="nil"/>
            </w:tcBorders>
            <w:tcMar>
              <w:top w:w="0" w:type="dxa"/>
              <w:left w:w="0" w:type="dxa"/>
              <w:bottom w:w="0" w:type="dxa"/>
              <w:right w:w="15" w:type="dxa"/>
            </w:tcMar>
            <w:vAlign w:val="bottom"/>
          </w:tcPr>
          <w:p w14:paraId="491A4B19" w14:textId="77777777" w:rsidR="0008228C" w:rsidRDefault="00193375">
            <w:pPr>
              <w:keepNext/>
              <w:tabs>
                <w:tab w:val="left" w:pos="1401"/>
                <w:tab w:val="left" w:pos="1837"/>
              </w:tabs>
              <w:spacing w:before="53" w:after="30" w:line="300" w:lineRule="auto"/>
              <w:jc w:val="right"/>
            </w:pPr>
            <w:r>
              <w:rPr>
                <w:color w:val="000000"/>
                <w:sz w:val="14"/>
              </w:rPr>
              <w:tab/>
              <w:t>20,440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0BFCDA9"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29417C20" w14:textId="77777777" w:rsidR="0008228C" w:rsidRDefault="00193375">
            <w:pPr>
              <w:keepNext/>
              <w:tabs>
                <w:tab w:val="left" w:pos="1401"/>
                <w:tab w:val="left" w:pos="1837"/>
              </w:tabs>
              <w:spacing w:before="53" w:after="30" w:line="300" w:lineRule="auto"/>
              <w:jc w:val="right"/>
            </w:pPr>
            <w:r>
              <w:rPr>
                <w:color w:val="000000"/>
                <w:sz w:val="14"/>
              </w:rPr>
              <w:tab/>
              <w:t>20,409</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5043A626"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4E49E76E" w14:textId="77777777" w:rsidR="0008228C" w:rsidRDefault="00193375">
            <w:pPr>
              <w:keepNext/>
              <w:tabs>
                <w:tab w:val="left" w:pos="1346"/>
                <w:tab w:val="left" w:pos="1837"/>
              </w:tabs>
              <w:spacing w:before="53" w:after="30" w:line="300" w:lineRule="auto"/>
              <w:jc w:val="right"/>
            </w:pPr>
            <w:r>
              <w:rPr>
                <w:color w:val="000000"/>
                <w:sz w:val="16"/>
              </w:rPr>
              <w:tab/>
              <w:t>30,314</w:t>
            </w:r>
            <w:r>
              <w:rPr>
                <w:color w:val="000000"/>
                <w:sz w:val="16"/>
              </w:rPr>
              <w:tab/>
            </w:r>
          </w:p>
        </w:tc>
      </w:tr>
      <w:tr w:rsidR="0008228C" w14:paraId="2244E7DE" w14:textId="77777777">
        <w:trPr>
          <w:cantSplit/>
          <w:trHeight w:hRule="exact" w:val="240"/>
        </w:trPr>
        <w:tc>
          <w:tcPr>
            <w:tcW w:w="4965" w:type="dxa"/>
            <w:tcBorders>
              <w:top w:val="nil"/>
              <w:left w:val="nil"/>
              <w:bottom w:val="nil"/>
              <w:right w:val="nil"/>
            </w:tcBorders>
            <w:tcMar>
              <w:top w:w="0" w:type="dxa"/>
              <w:left w:w="53" w:type="dxa"/>
              <w:bottom w:w="0" w:type="dxa"/>
              <w:right w:w="53" w:type="dxa"/>
            </w:tcMar>
            <w:vAlign w:val="bottom"/>
          </w:tcPr>
          <w:p w14:paraId="31365C4F" w14:textId="77777777" w:rsidR="0008228C" w:rsidRDefault="00193375">
            <w:pPr>
              <w:keepNext/>
              <w:spacing w:before="53" w:after="30" w:line="300" w:lineRule="auto"/>
            </w:pPr>
            <w:r>
              <w:rPr>
                <w:color w:val="000000"/>
                <w:sz w:val="14"/>
              </w:rPr>
              <w:t>Operating lease liability</w:t>
            </w:r>
          </w:p>
        </w:tc>
        <w:tc>
          <w:tcPr>
            <w:tcW w:w="1905" w:type="dxa"/>
            <w:tcBorders>
              <w:top w:val="nil"/>
              <w:left w:val="nil"/>
              <w:bottom w:val="nil"/>
              <w:right w:val="nil"/>
            </w:tcBorders>
            <w:tcMar>
              <w:top w:w="0" w:type="dxa"/>
              <w:left w:w="0" w:type="dxa"/>
              <w:bottom w:w="0" w:type="dxa"/>
              <w:right w:w="15" w:type="dxa"/>
            </w:tcMar>
            <w:vAlign w:val="bottom"/>
          </w:tcPr>
          <w:p w14:paraId="0D800923" w14:textId="77777777" w:rsidR="0008228C" w:rsidRDefault="00193375">
            <w:pPr>
              <w:keepNext/>
              <w:tabs>
                <w:tab w:val="left" w:pos="1471"/>
                <w:tab w:val="left" w:pos="1837"/>
              </w:tabs>
              <w:spacing w:before="53" w:after="30" w:line="300" w:lineRule="auto"/>
              <w:jc w:val="right"/>
            </w:pPr>
            <w:r>
              <w:rPr>
                <w:color w:val="000000"/>
                <w:sz w:val="14"/>
              </w:rPr>
              <w:tab/>
              <w:t>9,233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3EB2D4E" w14:textId="77777777" w:rsidR="0008228C" w:rsidRDefault="0008228C">
            <w:pPr>
              <w:keepNext/>
              <w:spacing w:before="53" w:after="30" w:line="300" w:lineRule="auto"/>
              <w:jc w:val="right"/>
            </w:pPr>
          </w:p>
        </w:tc>
        <w:tc>
          <w:tcPr>
            <w:tcW w:w="1905" w:type="dxa"/>
            <w:tcBorders>
              <w:top w:val="nil"/>
              <w:left w:val="nil"/>
              <w:bottom w:val="nil"/>
              <w:right w:val="nil"/>
            </w:tcBorders>
            <w:tcMar>
              <w:top w:w="0" w:type="dxa"/>
              <w:left w:w="0" w:type="dxa"/>
              <w:bottom w:w="0" w:type="dxa"/>
              <w:right w:w="15" w:type="dxa"/>
            </w:tcMar>
            <w:vAlign w:val="bottom"/>
          </w:tcPr>
          <w:p w14:paraId="7035B58B" w14:textId="77777777" w:rsidR="0008228C" w:rsidRDefault="00193375">
            <w:pPr>
              <w:keepNext/>
              <w:tabs>
                <w:tab w:val="left" w:pos="1471"/>
                <w:tab w:val="left" w:pos="1837"/>
              </w:tabs>
              <w:spacing w:before="53" w:after="30" w:line="300" w:lineRule="auto"/>
              <w:jc w:val="right"/>
            </w:pPr>
            <w:r>
              <w:rPr>
                <w:color w:val="000000"/>
                <w:sz w:val="14"/>
              </w:rPr>
              <w:tab/>
              <w:t>9,002</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578275C7"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42ED3CDE" w14:textId="77777777" w:rsidR="0008228C" w:rsidRDefault="00193375">
            <w:pPr>
              <w:keepNext/>
              <w:tabs>
                <w:tab w:val="left" w:pos="1346"/>
                <w:tab w:val="left" w:pos="1837"/>
              </w:tabs>
              <w:spacing w:before="53" w:after="30" w:line="300" w:lineRule="auto"/>
              <w:jc w:val="right"/>
            </w:pPr>
            <w:r>
              <w:rPr>
                <w:color w:val="000000"/>
                <w:sz w:val="16"/>
              </w:rPr>
              <w:tab/>
              <w:t>12,087</w:t>
            </w:r>
            <w:r>
              <w:rPr>
                <w:color w:val="000000"/>
                <w:sz w:val="16"/>
              </w:rPr>
              <w:tab/>
            </w:r>
          </w:p>
        </w:tc>
      </w:tr>
      <w:tr w:rsidR="0008228C" w14:paraId="719BA8A0"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487FF39C" w14:textId="77777777" w:rsidR="0008228C" w:rsidRDefault="00193375">
            <w:pPr>
              <w:keepNext/>
              <w:spacing w:before="53" w:after="30" w:line="300" w:lineRule="auto"/>
            </w:pPr>
            <w:r>
              <w:rPr>
                <w:color w:val="000000"/>
                <w:sz w:val="14"/>
              </w:rPr>
              <w:t>Accrued interest and other liabilities</w:t>
            </w:r>
          </w:p>
        </w:tc>
        <w:tc>
          <w:tcPr>
            <w:tcW w:w="1905" w:type="dxa"/>
            <w:tcBorders>
              <w:top w:val="nil"/>
              <w:left w:val="nil"/>
              <w:bottom w:val="single" w:sz="8" w:space="0" w:color="000000"/>
              <w:right w:val="nil"/>
            </w:tcBorders>
            <w:tcMar>
              <w:top w:w="0" w:type="dxa"/>
              <w:left w:w="0" w:type="dxa"/>
              <w:bottom w:w="0" w:type="dxa"/>
              <w:right w:w="15" w:type="dxa"/>
            </w:tcMar>
            <w:vAlign w:val="bottom"/>
          </w:tcPr>
          <w:p w14:paraId="6FB177D8" w14:textId="77777777" w:rsidR="0008228C" w:rsidRDefault="00193375">
            <w:pPr>
              <w:keepNext/>
              <w:tabs>
                <w:tab w:val="left" w:pos="1471"/>
                <w:tab w:val="left" w:pos="1837"/>
              </w:tabs>
              <w:spacing w:before="53" w:after="30" w:line="300" w:lineRule="auto"/>
              <w:jc w:val="right"/>
            </w:pPr>
            <w:r>
              <w:rPr>
                <w:color w:val="000000"/>
                <w:sz w:val="14"/>
              </w:rPr>
              <w:tab/>
              <w:t>8,504</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64F80F3" w14:textId="77777777" w:rsidR="0008228C" w:rsidRDefault="0008228C">
            <w:pPr>
              <w:keepNext/>
              <w:spacing w:before="53" w:after="30" w:line="300" w:lineRule="auto"/>
              <w:jc w:val="righ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331297E9" w14:textId="77777777" w:rsidR="0008228C" w:rsidRDefault="00193375">
            <w:pPr>
              <w:keepNext/>
              <w:tabs>
                <w:tab w:val="left" w:pos="1401"/>
                <w:tab w:val="left" w:pos="1837"/>
              </w:tabs>
              <w:spacing w:before="53" w:after="30" w:line="300" w:lineRule="auto"/>
              <w:jc w:val="right"/>
            </w:pPr>
            <w:r>
              <w:rPr>
                <w:color w:val="000000"/>
                <w:sz w:val="14"/>
              </w:rPr>
              <w:tab/>
              <w:t>10,829</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6B5A90DF" w14:textId="77777777" w:rsidR="0008228C" w:rsidRDefault="0008228C">
            <w:pPr>
              <w:keepNext/>
            </w:pPr>
          </w:p>
        </w:tc>
        <w:tc>
          <w:tcPr>
            <w:tcW w:w="1905" w:type="dxa"/>
            <w:tcBorders>
              <w:top w:val="nil"/>
              <w:left w:val="nil"/>
              <w:bottom w:val="single" w:sz="8" w:space="0" w:color="000000"/>
              <w:right w:val="nil"/>
            </w:tcBorders>
            <w:tcMar>
              <w:top w:w="0" w:type="dxa"/>
              <w:left w:w="0" w:type="dxa"/>
              <w:bottom w:w="0" w:type="dxa"/>
              <w:right w:w="15" w:type="dxa"/>
            </w:tcMar>
            <w:vAlign w:val="bottom"/>
          </w:tcPr>
          <w:p w14:paraId="0C74A2F1" w14:textId="77777777" w:rsidR="0008228C" w:rsidRDefault="00193375">
            <w:pPr>
              <w:keepNext/>
              <w:tabs>
                <w:tab w:val="left" w:pos="1426"/>
                <w:tab w:val="left" w:pos="1837"/>
              </w:tabs>
              <w:spacing w:before="53" w:after="30" w:line="300" w:lineRule="auto"/>
              <w:jc w:val="right"/>
            </w:pPr>
            <w:r>
              <w:rPr>
                <w:color w:val="000000"/>
                <w:sz w:val="16"/>
              </w:rPr>
              <w:tab/>
              <w:t>6,328</w:t>
            </w:r>
            <w:r>
              <w:rPr>
                <w:color w:val="000000"/>
                <w:sz w:val="16"/>
              </w:rPr>
              <w:tab/>
            </w:r>
          </w:p>
        </w:tc>
      </w:tr>
      <w:tr w:rsidR="0008228C" w14:paraId="0D741DA0"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7BA1015A" w14:textId="77777777" w:rsidR="0008228C" w:rsidRDefault="00193375">
            <w:pPr>
              <w:keepNext/>
              <w:spacing w:before="33" w:after="30" w:line="300" w:lineRule="auto"/>
              <w:ind w:left="180"/>
            </w:pPr>
            <w:r>
              <w:rPr>
                <w:color w:val="000000"/>
                <w:sz w:val="14"/>
              </w:rPr>
              <w:t>Total liabilities</w:t>
            </w:r>
          </w:p>
        </w:tc>
        <w:tc>
          <w:tcPr>
            <w:tcW w:w="1905" w:type="dxa"/>
            <w:tcBorders>
              <w:top w:val="single" w:sz="8" w:space="0" w:color="000000"/>
              <w:left w:val="nil"/>
              <w:bottom w:val="nil"/>
              <w:right w:val="nil"/>
            </w:tcBorders>
            <w:tcMar>
              <w:top w:w="0" w:type="dxa"/>
              <w:left w:w="0" w:type="dxa"/>
              <w:bottom w:w="0" w:type="dxa"/>
              <w:right w:w="15" w:type="dxa"/>
            </w:tcMar>
            <w:vAlign w:val="bottom"/>
          </w:tcPr>
          <w:p w14:paraId="6ABDC404" w14:textId="77777777" w:rsidR="0008228C" w:rsidRDefault="00193375">
            <w:pPr>
              <w:keepNext/>
              <w:tabs>
                <w:tab w:val="left" w:pos="1226"/>
                <w:tab w:val="left" w:pos="1837"/>
              </w:tabs>
              <w:spacing w:before="33" w:after="30" w:line="300" w:lineRule="auto"/>
              <w:jc w:val="right"/>
            </w:pPr>
            <w:r>
              <w:rPr>
                <w:color w:val="000000"/>
                <w:sz w:val="14"/>
              </w:rPr>
              <w:tab/>
              <w:t>2,051,095</w:t>
            </w:r>
            <w:r>
              <w:rPr>
                <w:color w:val="000000"/>
                <w:sz w:val="14"/>
              </w:rPr>
              <w:tab/>
            </w:r>
          </w:p>
        </w:tc>
        <w:tc>
          <w:tcPr>
            <w:tcW w:w="60" w:type="dxa"/>
            <w:tcBorders>
              <w:top w:val="nil"/>
              <w:left w:val="nil"/>
              <w:bottom w:val="nil"/>
              <w:right w:val="nil"/>
            </w:tcBorders>
            <w:tcMar>
              <w:top w:w="0" w:type="dxa"/>
              <w:left w:w="0" w:type="dxa"/>
              <w:bottom w:w="0" w:type="dxa"/>
              <w:right w:w="53" w:type="dxa"/>
            </w:tcMar>
            <w:vAlign w:val="bottom"/>
          </w:tcPr>
          <w:p w14:paraId="0D15C411" w14:textId="77777777" w:rsidR="0008228C" w:rsidRDefault="0008228C">
            <w:pPr>
              <w:keepNext/>
              <w:spacing w:before="33" w:after="30" w:line="300" w:lineRule="auto"/>
              <w:jc w:val="righ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170F8842" w14:textId="77777777" w:rsidR="0008228C" w:rsidRDefault="00193375">
            <w:pPr>
              <w:keepNext/>
              <w:tabs>
                <w:tab w:val="left" w:pos="1226"/>
                <w:tab w:val="left" w:pos="1837"/>
              </w:tabs>
              <w:spacing w:before="33" w:after="30" w:line="300" w:lineRule="auto"/>
              <w:jc w:val="right"/>
            </w:pPr>
            <w:r>
              <w:rPr>
                <w:color w:val="000000"/>
                <w:sz w:val="14"/>
              </w:rPr>
              <w:tab/>
              <w:t>2,013,338</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49EB1BC6" w14:textId="77777777" w:rsidR="0008228C" w:rsidRDefault="0008228C">
            <w:pPr>
              <w:keepNext/>
            </w:pPr>
          </w:p>
        </w:tc>
        <w:tc>
          <w:tcPr>
            <w:tcW w:w="1905" w:type="dxa"/>
            <w:tcBorders>
              <w:top w:val="single" w:sz="8" w:space="0" w:color="000000"/>
              <w:left w:val="nil"/>
              <w:bottom w:val="nil"/>
              <w:right w:val="nil"/>
            </w:tcBorders>
            <w:tcMar>
              <w:top w:w="0" w:type="dxa"/>
              <w:left w:w="0" w:type="dxa"/>
              <w:bottom w:w="0" w:type="dxa"/>
              <w:right w:w="15" w:type="dxa"/>
            </w:tcMar>
            <w:vAlign w:val="bottom"/>
          </w:tcPr>
          <w:p w14:paraId="5B9565ED" w14:textId="77777777" w:rsidR="0008228C" w:rsidRDefault="00193375">
            <w:pPr>
              <w:keepNext/>
              <w:tabs>
                <w:tab w:val="left" w:pos="1146"/>
                <w:tab w:val="left" w:pos="1837"/>
              </w:tabs>
              <w:spacing w:before="33" w:after="30" w:line="300" w:lineRule="auto"/>
              <w:jc w:val="right"/>
            </w:pPr>
            <w:r>
              <w:rPr>
                <w:color w:val="000000"/>
                <w:sz w:val="16"/>
              </w:rPr>
              <w:tab/>
              <w:t>1,502,103</w:t>
            </w:r>
            <w:r>
              <w:rPr>
                <w:color w:val="000000"/>
                <w:sz w:val="16"/>
              </w:rPr>
              <w:tab/>
            </w:r>
          </w:p>
        </w:tc>
      </w:tr>
      <w:tr w:rsidR="0008228C" w14:paraId="2511DC06"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3AA14583" w14:textId="77777777" w:rsidR="0008228C" w:rsidRDefault="00193375">
            <w:pPr>
              <w:keepNext/>
              <w:spacing w:before="53" w:after="30" w:line="300" w:lineRule="auto"/>
            </w:pPr>
            <w:r>
              <w:rPr>
                <w:color w:val="000000"/>
                <w:sz w:val="16"/>
              </w:rPr>
              <w:t> </w:t>
            </w:r>
          </w:p>
        </w:tc>
        <w:tc>
          <w:tcPr>
            <w:tcW w:w="1905" w:type="dxa"/>
            <w:tcBorders>
              <w:top w:val="nil"/>
              <w:left w:val="nil"/>
              <w:bottom w:val="nil"/>
              <w:right w:val="nil"/>
            </w:tcBorders>
            <w:tcMar>
              <w:top w:w="0" w:type="dxa"/>
              <w:left w:w="0" w:type="dxa"/>
              <w:bottom w:w="0" w:type="dxa"/>
              <w:right w:w="15" w:type="dxa"/>
            </w:tcMar>
            <w:vAlign w:val="bottom"/>
          </w:tcPr>
          <w:p w14:paraId="57F489E1" w14:textId="77777777" w:rsidR="0008228C" w:rsidRDefault="00193375">
            <w:pPr>
              <w:keepNext/>
              <w:spacing w:before="5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5B5A6E07" w14:textId="77777777" w:rsidR="0008228C" w:rsidRDefault="0008228C">
            <w:pPr>
              <w:keepNext/>
            </w:pPr>
          </w:p>
        </w:tc>
        <w:tc>
          <w:tcPr>
            <w:tcW w:w="1905" w:type="dxa"/>
            <w:tcBorders>
              <w:top w:val="nil"/>
              <w:left w:val="nil"/>
              <w:bottom w:val="nil"/>
              <w:right w:val="nil"/>
            </w:tcBorders>
            <w:tcMar>
              <w:top w:w="0" w:type="dxa"/>
              <w:left w:w="0" w:type="dxa"/>
              <w:bottom w:w="0" w:type="dxa"/>
              <w:right w:w="15" w:type="dxa"/>
            </w:tcMar>
            <w:vAlign w:val="bottom"/>
          </w:tcPr>
          <w:p w14:paraId="373BF4F6" w14:textId="77777777" w:rsidR="0008228C" w:rsidRDefault="00193375">
            <w:pPr>
              <w:keepNext/>
              <w:spacing w:before="53" w:after="30" w:line="300" w:lineRule="auto"/>
              <w:jc w:val="right"/>
            </w:pPr>
            <w:r>
              <w:rPr>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123142DC" w14:textId="77777777" w:rsidR="0008228C" w:rsidRDefault="0008228C">
            <w:pPr>
              <w:keepNext/>
            </w:pPr>
          </w:p>
        </w:tc>
        <w:tc>
          <w:tcPr>
            <w:tcW w:w="1905" w:type="dxa"/>
            <w:tcBorders>
              <w:top w:val="nil"/>
              <w:left w:val="nil"/>
              <w:bottom w:val="nil"/>
              <w:right w:val="nil"/>
            </w:tcBorders>
            <w:tcMar>
              <w:top w:w="0" w:type="dxa"/>
              <w:left w:w="0" w:type="dxa"/>
              <w:bottom w:w="0" w:type="dxa"/>
              <w:right w:w="0" w:type="dxa"/>
            </w:tcMar>
            <w:vAlign w:val="bottom"/>
          </w:tcPr>
          <w:p w14:paraId="06DE9BF6" w14:textId="77777777" w:rsidR="0008228C" w:rsidRDefault="0008228C">
            <w:pPr>
              <w:keepNext/>
            </w:pPr>
          </w:p>
        </w:tc>
      </w:tr>
      <w:tr w:rsidR="0008228C" w14:paraId="785BBF0B"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393299BD" w14:textId="77777777" w:rsidR="0008228C" w:rsidRDefault="00193375">
            <w:pPr>
              <w:keepNext/>
              <w:spacing w:before="33" w:after="30" w:line="300" w:lineRule="auto"/>
              <w:ind w:left="180"/>
            </w:pPr>
            <w:r>
              <w:rPr>
                <w:color w:val="000000"/>
                <w:sz w:val="14"/>
              </w:rPr>
              <w:t>Total shareholders' equity</w:t>
            </w:r>
          </w:p>
        </w:tc>
        <w:tc>
          <w:tcPr>
            <w:tcW w:w="1905" w:type="dxa"/>
            <w:tcBorders>
              <w:top w:val="single" w:sz="8" w:space="0" w:color="000000"/>
              <w:left w:val="nil"/>
              <w:bottom w:val="single" w:sz="8" w:space="0" w:color="000000"/>
              <w:right w:val="nil"/>
            </w:tcBorders>
            <w:tcMar>
              <w:top w:w="0" w:type="dxa"/>
              <w:left w:w="0" w:type="dxa"/>
              <w:bottom w:w="0" w:type="dxa"/>
              <w:right w:w="15" w:type="dxa"/>
            </w:tcMar>
            <w:vAlign w:val="bottom"/>
          </w:tcPr>
          <w:p w14:paraId="6540AD0B" w14:textId="77777777" w:rsidR="0008228C" w:rsidRDefault="00193375">
            <w:pPr>
              <w:keepNext/>
              <w:tabs>
                <w:tab w:val="left" w:pos="1331"/>
                <w:tab w:val="left" w:pos="1837"/>
              </w:tabs>
              <w:spacing w:before="33" w:after="30" w:line="300" w:lineRule="auto"/>
              <w:jc w:val="right"/>
            </w:pPr>
            <w:r>
              <w:rPr>
                <w:color w:val="000000"/>
                <w:sz w:val="14"/>
              </w:rPr>
              <w:tab/>
              <w:t>246,761</w:t>
            </w:r>
            <w:r>
              <w:rPr>
                <w:color w:val="000000"/>
                <w:sz w:val="14"/>
              </w:rPr>
              <w:tab/>
            </w:r>
          </w:p>
        </w:tc>
        <w:tc>
          <w:tcPr>
            <w:tcW w:w="60" w:type="dxa"/>
            <w:tcBorders>
              <w:top w:val="nil"/>
              <w:left w:val="nil"/>
              <w:bottom w:val="nil"/>
              <w:right w:val="nil"/>
            </w:tcBorders>
            <w:tcMar>
              <w:top w:w="0" w:type="dxa"/>
              <w:left w:w="0" w:type="dxa"/>
              <w:bottom w:w="0" w:type="dxa"/>
              <w:right w:w="53" w:type="dxa"/>
            </w:tcMar>
            <w:vAlign w:val="bottom"/>
          </w:tcPr>
          <w:p w14:paraId="7D3B6079" w14:textId="77777777" w:rsidR="0008228C" w:rsidRDefault="0008228C">
            <w:pPr>
              <w:keepNext/>
              <w:spacing w:before="33" w:after="30" w:line="300" w:lineRule="auto"/>
              <w:jc w:val="right"/>
            </w:pPr>
          </w:p>
        </w:tc>
        <w:tc>
          <w:tcPr>
            <w:tcW w:w="1905" w:type="dxa"/>
            <w:tcBorders>
              <w:top w:val="single" w:sz="8" w:space="0" w:color="000000"/>
              <w:left w:val="nil"/>
              <w:bottom w:val="single" w:sz="8" w:space="0" w:color="000000"/>
              <w:right w:val="nil"/>
            </w:tcBorders>
            <w:tcMar>
              <w:top w:w="0" w:type="dxa"/>
              <w:left w:w="0" w:type="dxa"/>
              <w:bottom w:w="0" w:type="dxa"/>
              <w:right w:w="15" w:type="dxa"/>
            </w:tcMar>
            <w:vAlign w:val="bottom"/>
          </w:tcPr>
          <w:p w14:paraId="69F10E38" w14:textId="77777777" w:rsidR="0008228C" w:rsidRDefault="00193375">
            <w:pPr>
              <w:keepNext/>
              <w:tabs>
                <w:tab w:val="left" w:pos="1331"/>
                <w:tab w:val="left" w:pos="1837"/>
              </w:tabs>
              <w:spacing w:before="33" w:after="30" w:line="300" w:lineRule="auto"/>
              <w:jc w:val="right"/>
            </w:pPr>
            <w:r>
              <w:rPr>
                <w:color w:val="000000"/>
                <w:sz w:val="14"/>
              </w:rPr>
              <w:tab/>
              <w:t>246,528</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5FBB7BBE" w14:textId="77777777" w:rsidR="0008228C" w:rsidRDefault="0008228C">
            <w:pPr>
              <w:keepNext/>
            </w:pPr>
          </w:p>
        </w:tc>
        <w:tc>
          <w:tcPr>
            <w:tcW w:w="1905" w:type="dxa"/>
            <w:tcBorders>
              <w:top w:val="single" w:sz="8" w:space="0" w:color="000000"/>
              <w:left w:val="nil"/>
              <w:bottom w:val="single" w:sz="8" w:space="0" w:color="000000"/>
              <w:right w:val="nil"/>
            </w:tcBorders>
            <w:tcMar>
              <w:top w:w="0" w:type="dxa"/>
              <w:left w:w="0" w:type="dxa"/>
              <w:bottom w:w="0" w:type="dxa"/>
              <w:right w:w="15" w:type="dxa"/>
            </w:tcMar>
            <w:vAlign w:val="bottom"/>
          </w:tcPr>
          <w:p w14:paraId="36871C77" w14:textId="77777777" w:rsidR="0008228C" w:rsidRDefault="00193375">
            <w:pPr>
              <w:keepNext/>
              <w:tabs>
                <w:tab w:val="left" w:pos="1266"/>
                <w:tab w:val="left" w:pos="1837"/>
              </w:tabs>
              <w:spacing w:before="33" w:after="30" w:line="300" w:lineRule="auto"/>
              <w:jc w:val="right"/>
            </w:pPr>
            <w:r>
              <w:rPr>
                <w:color w:val="000000"/>
                <w:sz w:val="16"/>
              </w:rPr>
              <w:tab/>
              <w:t>171,066</w:t>
            </w:r>
            <w:r>
              <w:rPr>
                <w:color w:val="000000"/>
                <w:sz w:val="16"/>
              </w:rPr>
              <w:tab/>
            </w:r>
          </w:p>
        </w:tc>
      </w:tr>
      <w:tr w:rsidR="0008228C" w14:paraId="5ACDEA02" w14:textId="77777777">
        <w:trPr>
          <w:cantSplit/>
          <w:trHeight w:hRule="exact" w:val="255"/>
        </w:trPr>
        <w:tc>
          <w:tcPr>
            <w:tcW w:w="4965" w:type="dxa"/>
            <w:tcBorders>
              <w:top w:val="nil"/>
              <w:left w:val="nil"/>
              <w:bottom w:val="nil"/>
              <w:right w:val="nil"/>
            </w:tcBorders>
            <w:tcMar>
              <w:top w:w="0" w:type="dxa"/>
              <w:left w:w="53" w:type="dxa"/>
              <w:bottom w:w="0" w:type="dxa"/>
              <w:right w:w="53" w:type="dxa"/>
            </w:tcMar>
            <w:vAlign w:val="bottom"/>
          </w:tcPr>
          <w:p w14:paraId="72BD0393" w14:textId="77777777" w:rsidR="0008228C" w:rsidRDefault="00193375">
            <w:pPr>
              <w:spacing w:before="33" w:after="30" w:line="300" w:lineRule="auto"/>
              <w:ind w:left="180"/>
            </w:pPr>
            <w:r>
              <w:rPr>
                <w:color w:val="000000"/>
                <w:sz w:val="14"/>
              </w:rPr>
              <w:t>Total Liabilities and Shareholders' Equity</w:t>
            </w:r>
          </w:p>
        </w:tc>
        <w:tc>
          <w:tcPr>
            <w:tcW w:w="19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583F24E6" w14:textId="77777777" w:rsidR="0008228C" w:rsidRDefault="00193375">
            <w:pPr>
              <w:tabs>
                <w:tab w:val="left" w:pos="1226"/>
                <w:tab w:val="left" w:pos="1837"/>
              </w:tabs>
              <w:spacing w:before="33" w:after="30" w:line="300" w:lineRule="auto"/>
              <w:jc w:val="right"/>
            </w:pPr>
            <w:r>
              <w:rPr>
                <w:color w:val="000000"/>
                <w:sz w:val="14"/>
              </w:rPr>
              <w:t>$</w:t>
            </w:r>
            <w:r>
              <w:rPr>
                <w:color w:val="000000"/>
                <w:sz w:val="14"/>
              </w:rPr>
              <w:tab/>
              <w:t>2,297,856</w:t>
            </w:r>
            <w:r>
              <w:rPr>
                <w:color w:val="000000"/>
                <w:sz w:val="14"/>
              </w:rPr>
              <w:tab/>
            </w:r>
          </w:p>
        </w:tc>
        <w:tc>
          <w:tcPr>
            <w:tcW w:w="60" w:type="dxa"/>
            <w:tcBorders>
              <w:top w:val="nil"/>
              <w:left w:val="nil"/>
              <w:bottom w:val="nil"/>
              <w:right w:val="nil"/>
            </w:tcBorders>
            <w:tcMar>
              <w:top w:w="0" w:type="dxa"/>
              <w:left w:w="0" w:type="dxa"/>
              <w:bottom w:w="0" w:type="dxa"/>
              <w:right w:w="53" w:type="dxa"/>
            </w:tcMar>
            <w:vAlign w:val="bottom"/>
          </w:tcPr>
          <w:p w14:paraId="09776732" w14:textId="77777777" w:rsidR="0008228C" w:rsidRDefault="0008228C">
            <w:pPr>
              <w:spacing w:before="33" w:after="30" w:line="300" w:lineRule="auto"/>
              <w:jc w:val="right"/>
            </w:pPr>
          </w:p>
        </w:tc>
        <w:tc>
          <w:tcPr>
            <w:tcW w:w="19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44BEA242" w14:textId="77777777" w:rsidR="0008228C" w:rsidRDefault="00193375">
            <w:pPr>
              <w:tabs>
                <w:tab w:val="left" w:pos="1226"/>
                <w:tab w:val="left" w:pos="1837"/>
              </w:tabs>
              <w:spacing w:before="33" w:after="30" w:line="300" w:lineRule="auto"/>
              <w:jc w:val="right"/>
            </w:pPr>
            <w:r>
              <w:rPr>
                <w:color w:val="000000"/>
                <w:sz w:val="14"/>
              </w:rPr>
              <w:t>$</w:t>
            </w:r>
            <w:r>
              <w:rPr>
                <w:color w:val="000000"/>
                <w:sz w:val="14"/>
              </w:rPr>
              <w:tab/>
              <w:t>2,259,866</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6063A78D" w14:textId="77777777" w:rsidR="0008228C" w:rsidRDefault="0008228C"/>
        </w:tc>
        <w:tc>
          <w:tcPr>
            <w:tcW w:w="19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6A1FA370" w14:textId="77777777" w:rsidR="0008228C" w:rsidRDefault="00193375">
            <w:pPr>
              <w:tabs>
                <w:tab w:val="left" w:pos="1146"/>
                <w:tab w:val="left" w:pos="1837"/>
              </w:tabs>
              <w:spacing w:before="33" w:after="30" w:line="300" w:lineRule="auto"/>
              <w:jc w:val="right"/>
            </w:pPr>
            <w:r>
              <w:rPr>
                <w:color w:val="000000"/>
                <w:sz w:val="16"/>
              </w:rPr>
              <w:t>$</w:t>
            </w:r>
            <w:r>
              <w:rPr>
                <w:color w:val="000000"/>
                <w:sz w:val="16"/>
              </w:rPr>
              <w:tab/>
              <w:t>1,673,169</w:t>
            </w:r>
            <w:r>
              <w:rPr>
                <w:color w:val="000000"/>
                <w:sz w:val="16"/>
              </w:rPr>
              <w:tab/>
            </w:r>
          </w:p>
        </w:tc>
      </w:tr>
    </w:tbl>
    <w:p w14:paraId="28974544" w14:textId="77777777" w:rsidR="0008228C" w:rsidRDefault="0008228C">
      <w:pPr>
        <w:spacing w:before="2" w:after="2" w:line="300" w:lineRule="auto"/>
        <w:rPr>
          <w:rFonts w:ascii="Calibri" w:eastAsia="Calibri" w:hAnsi="Calibri" w:cs="Calibri"/>
          <w:sz w:val="22"/>
        </w:rPr>
      </w:pPr>
    </w:p>
    <w:p w14:paraId="4E4902D1" w14:textId="77777777" w:rsidR="0008228C" w:rsidRDefault="0008228C">
      <w:pPr>
        <w:spacing w:after="2" w:line="300" w:lineRule="auto"/>
        <w:rPr>
          <w:rFonts w:ascii="Calibri" w:eastAsia="Calibri" w:hAnsi="Calibri" w:cs="Calibri"/>
          <w:sz w:val="22"/>
        </w:rPr>
      </w:pPr>
    </w:p>
    <w:p w14:paraId="61FDDFD8" w14:textId="77777777" w:rsidR="0008228C" w:rsidRDefault="0008228C">
      <w:pPr>
        <w:spacing w:after="2" w:line="300" w:lineRule="auto"/>
        <w:rPr>
          <w:rFonts w:ascii="Calibri" w:eastAsia="Calibri" w:hAnsi="Calibri" w:cs="Calibri"/>
          <w:sz w:val="22"/>
        </w:rPr>
        <w:sectPr w:rsidR="0008228C">
          <w:pgSz w:w="12240" w:h="15840"/>
          <w:pgMar w:top="835" w:right="720" w:bottom="1238" w:left="720" w:header="560" w:footer="720" w:gutter="0"/>
          <w:cols w:space="708"/>
        </w:sectPr>
      </w:pPr>
    </w:p>
    <w:p w14:paraId="63814C17" w14:textId="77777777" w:rsidR="0008228C" w:rsidRDefault="00193375">
      <w:pPr>
        <w:spacing w:after="2" w:line="288" w:lineRule="auto"/>
        <w:outlineLvl w:val="0"/>
        <w:rPr>
          <w:rFonts w:ascii="Calibri" w:eastAsia="Calibri" w:hAnsi="Calibri" w:cs="Calibri"/>
          <w:sz w:val="22"/>
        </w:rPr>
      </w:pPr>
      <w:bookmarkStart w:id="3" w:name="Section4"/>
      <w:bookmarkEnd w:id="3"/>
      <w:r>
        <w:rPr>
          <w:rFonts w:ascii="Cambria" w:eastAsia="Cambria" w:hAnsi="Cambria" w:cs="Cambria"/>
          <w:b/>
          <w:color w:val="005CAB"/>
        </w:rPr>
        <w:lastRenderedPageBreak/>
        <w:t>Southern California</w:t>
      </w:r>
      <w:r>
        <w:rPr>
          <w:rFonts w:ascii="Cambria" w:eastAsia="Cambria" w:hAnsi="Cambria" w:cs="Cambria"/>
          <w:b/>
        </w:rPr>
        <w:t xml:space="preserve"> </w:t>
      </w:r>
      <w:r>
        <w:rPr>
          <w:rFonts w:ascii="Cambria" w:eastAsia="Cambria" w:hAnsi="Cambria" w:cs="Cambria"/>
          <w:b/>
          <w:color w:val="F47B20"/>
        </w:rPr>
        <w:t>Bancorp and Subsidiary</w:t>
      </w:r>
    </w:p>
    <w:p w14:paraId="7250FA66" w14:textId="77777777" w:rsidR="0008228C" w:rsidRDefault="00193375">
      <w:pPr>
        <w:spacing w:after="2" w:line="288" w:lineRule="auto"/>
        <w:ind w:right="55"/>
        <w:rPr>
          <w:sz w:val="20"/>
        </w:rPr>
      </w:pPr>
      <w:r>
        <w:rPr>
          <w:sz w:val="20"/>
        </w:rPr>
        <w:t>Income Statements - Quarterly</w:t>
      </w:r>
    </w:p>
    <w:p w14:paraId="27A31869" w14:textId="77777777" w:rsidR="0008228C" w:rsidRDefault="00193375">
      <w:pPr>
        <w:spacing w:after="2" w:line="288" w:lineRule="auto"/>
        <w:ind w:right="55"/>
        <w:rPr>
          <w:sz w:val="16"/>
        </w:rPr>
      </w:pPr>
      <w:r>
        <w:rPr>
          <w:sz w:val="16"/>
        </w:rPr>
        <w:t>(Unaudited)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5"/>
        <w:gridCol w:w="1695"/>
        <w:gridCol w:w="60"/>
        <w:gridCol w:w="1695"/>
        <w:gridCol w:w="60"/>
        <w:gridCol w:w="1695"/>
      </w:tblGrid>
      <w:tr w:rsidR="0008228C" w14:paraId="0A00D614" w14:textId="77777777">
        <w:trPr>
          <w:cantSplit/>
          <w:trHeight w:hRule="exact" w:val="210"/>
        </w:trPr>
        <w:tc>
          <w:tcPr>
            <w:tcW w:w="5595" w:type="dxa"/>
            <w:tcBorders>
              <w:top w:val="nil"/>
              <w:left w:val="nil"/>
              <w:bottom w:val="nil"/>
              <w:right w:val="nil"/>
            </w:tcBorders>
            <w:tcMar>
              <w:top w:w="0" w:type="dxa"/>
              <w:left w:w="0" w:type="dxa"/>
              <w:bottom w:w="0" w:type="dxa"/>
              <w:right w:w="0" w:type="dxa"/>
            </w:tcMar>
            <w:vAlign w:val="bottom"/>
          </w:tcPr>
          <w:p w14:paraId="36EC49A3" w14:textId="77777777" w:rsidR="0008228C" w:rsidRDefault="0008228C"/>
        </w:tc>
        <w:tc>
          <w:tcPr>
            <w:tcW w:w="5205" w:type="dxa"/>
            <w:gridSpan w:val="5"/>
            <w:tcBorders>
              <w:top w:val="nil"/>
              <w:left w:val="nil"/>
              <w:bottom w:val="nil"/>
              <w:right w:val="nil"/>
            </w:tcBorders>
            <w:tcMar>
              <w:top w:w="0" w:type="dxa"/>
              <w:left w:w="53" w:type="dxa"/>
              <w:bottom w:w="0" w:type="dxa"/>
              <w:right w:w="53" w:type="dxa"/>
            </w:tcMar>
            <w:vAlign w:val="bottom"/>
          </w:tcPr>
          <w:p w14:paraId="21D1D5B9" w14:textId="77777777" w:rsidR="0008228C" w:rsidRDefault="00193375">
            <w:pPr>
              <w:spacing w:before="53" w:after="30" w:line="300" w:lineRule="auto"/>
              <w:jc w:val="center"/>
            </w:pPr>
            <w:r>
              <w:rPr>
                <w:b/>
                <w:color w:val="000000"/>
                <w:sz w:val="14"/>
                <w:u w:val="single"/>
              </w:rPr>
              <w:t>Three Months Ended</w:t>
            </w:r>
          </w:p>
        </w:tc>
      </w:tr>
      <w:tr w:rsidR="0008228C" w14:paraId="20DB74E4"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5D2175C3" w14:textId="77777777" w:rsidR="0008228C" w:rsidRDefault="00193375">
            <w:pPr>
              <w:spacing w:before="53" w:after="30" w:line="300" w:lineRule="auto"/>
            </w:pPr>
            <w:r>
              <w:rPr>
                <w:color w:val="000000"/>
                <w:sz w:val="16"/>
              </w:rPr>
              <w:t>($ in thousands except share and per share data)</w:t>
            </w:r>
          </w:p>
        </w:tc>
        <w:tc>
          <w:tcPr>
            <w:tcW w:w="1695" w:type="dxa"/>
            <w:tcBorders>
              <w:top w:val="nil"/>
              <w:left w:val="nil"/>
              <w:bottom w:val="nil"/>
              <w:right w:val="nil"/>
            </w:tcBorders>
            <w:tcMar>
              <w:top w:w="0" w:type="dxa"/>
              <w:left w:w="53" w:type="dxa"/>
              <w:bottom w:w="0" w:type="dxa"/>
              <w:right w:w="53" w:type="dxa"/>
            </w:tcMar>
            <w:vAlign w:val="bottom"/>
          </w:tcPr>
          <w:p w14:paraId="67AF9207" w14:textId="77777777" w:rsidR="0008228C" w:rsidRDefault="00193375">
            <w:pPr>
              <w:spacing w:before="53" w:after="30" w:line="300" w:lineRule="auto"/>
              <w:jc w:val="center"/>
            </w:pPr>
            <w:r>
              <w:rPr>
                <w:b/>
                <w:color w:val="000000"/>
                <w:sz w:val="14"/>
                <w:u w:val="single"/>
              </w:rPr>
              <w:t>March 31, 2022</w:t>
            </w:r>
          </w:p>
        </w:tc>
        <w:tc>
          <w:tcPr>
            <w:tcW w:w="60" w:type="dxa"/>
            <w:tcBorders>
              <w:top w:val="nil"/>
              <w:left w:val="nil"/>
              <w:bottom w:val="nil"/>
              <w:right w:val="nil"/>
            </w:tcBorders>
            <w:tcMar>
              <w:top w:w="0" w:type="dxa"/>
              <w:left w:w="0" w:type="dxa"/>
              <w:bottom w:w="0" w:type="dxa"/>
              <w:right w:w="0" w:type="dxa"/>
            </w:tcMar>
            <w:vAlign w:val="bottom"/>
          </w:tcPr>
          <w:p w14:paraId="55820EBA" w14:textId="77777777" w:rsidR="0008228C" w:rsidRDefault="0008228C"/>
        </w:tc>
        <w:tc>
          <w:tcPr>
            <w:tcW w:w="1695" w:type="dxa"/>
            <w:tcBorders>
              <w:top w:val="nil"/>
              <w:left w:val="nil"/>
              <w:bottom w:val="nil"/>
              <w:right w:val="nil"/>
            </w:tcBorders>
            <w:tcMar>
              <w:top w:w="0" w:type="dxa"/>
              <w:left w:w="53" w:type="dxa"/>
              <w:bottom w:w="0" w:type="dxa"/>
              <w:right w:w="53" w:type="dxa"/>
            </w:tcMar>
            <w:vAlign w:val="bottom"/>
          </w:tcPr>
          <w:p w14:paraId="797BDCE5" w14:textId="77777777" w:rsidR="0008228C" w:rsidRDefault="00193375">
            <w:pPr>
              <w:spacing w:before="53" w:after="30" w:line="300" w:lineRule="auto"/>
              <w:jc w:val="center"/>
            </w:pPr>
            <w:r>
              <w:rPr>
                <w:b/>
                <w:color w:val="000000"/>
                <w:sz w:val="14"/>
                <w:u w:val="single"/>
              </w:rPr>
              <w:t>Dec 31, 2021</w:t>
            </w:r>
          </w:p>
        </w:tc>
        <w:tc>
          <w:tcPr>
            <w:tcW w:w="60" w:type="dxa"/>
            <w:tcBorders>
              <w:top w:val="nil"/>
              <w:left w:val="nil"/>
              <w:bottom w:val="nil"/>
              <w:right w:val="nil"/>
            </w:tcBorders>
            <w:tcMar>
              <w:top w:w="0" w:type="dxa"/>
              <w:left w:w="0" w:type="dxa"/>
              <w:bottom w:w="0" w:type="dxa"/>
              <w:right w:w="0" w:type="dxa"/>
            </w:tcMar>
            <w:vAlign w:val="bottom"/>
          </w:tcPr>
          <w:p w14:paraId="1FD6298A" w14:textId="77777777" w:rsidR="0008228C" w:rsidRDefault="0008228C"/>
        </w:tc>
        <w:tc>
          <w:tcPr>
            <w:tcW w:w="1695" w:type="dxa"/>
            <w:tcBorders>
              <w:top w:val="nil"/>
              <w:left w:val="nil"/>
              <w:bottom w:val="nil"/>
              <w:right w:val="nil"/>
            </w:tcBorders>
            <w:tcMar>
              <w:top w:w="0" w:type="dxa"/>
              <w:left w:w="53" w:type="dxa"/>
              <w:bottom w:w="0" w:type="dxa"/>
              <w:right w:w="53" w:type="dxa"/>
            </w:tcMar>
            <w:vAlign w:val="bottom"/>
          </w:tcPr>
          <w:p w14:paraId="76045FC8" w14:textId="77777777" w:rsidR="0008228C" w:rsidRDefault="00193375">
            <w:pPr>
              <w:spacing w:before="53" w:after="30" w:line="300" w:lineRule="auto"/>
              <w:jc w:val="center"/>
            </w:pPr>
            <w:r>
              <w:rPr>
                <w:b/>
                <w:color w:val="000000"/>
                <w:sz w:val="14"/>
                <w:u w:val="single"/>
              </w:rPr>
              <w:t>March 31, 2021</w:t>
            </w:r>
          </w:p>
        </w:tc>
      </w:tr>
      <w:tr w:rsidR="0008228C" w14:paraId="22A1E8EA"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1E2024C6" w14:textId="77777777" w:rsidR="0008228C" w:rsidRDefault="00193375">
            <w:pPr>
              <w:spacing w:before="53" w:after="30" w:line="300" w:lineRule="auto"/>
            </w:pPr>
            <w:r>
              <w:rPr>
                <w:b/>
                <w:color w:val="000000"/>
                <w:sz w:val="14"/>
              </w:rPr>
              <w:t>INTEREST AND DIVIDEND  INCOME</w:t>
            </w:r>
          </w:p>
        </w:tc>
        <w:tc>
          <w:tcPr>
            <w:tcW w:w="1695" w:type="dxa"/>
            <w:tcBorders>
              <w:top w:val="nil"/>
              <w:left w:val="nil"/>
              <w:bottom w:val="nil"/>
              <w:right w:val="nil"/>
            </w:tcBorders>
            <w:tcMar>
              <w:top w:w="0" w:type="dxa"/>
              <w:left w:w="0" w:type="dxa"/>
              <w:bottom w:w="0" w:type="dxa"/>
              <w:right w:w="0" w:type="dxa"/>
            </w:tcMar>
            <w:vAlign w:val="bottom"/>
          </w:tcPr>
          <w:p w14:paraId="522F8084"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36237D3"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6A045465"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326901E"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3973982E" w14:textId="77777777" w:rsidR="0008228C" w:rsidRDefault="0008228C"/>
        </w:tc>
      </w:tr>
      <w:tr w:rsidR="0008228C" w14:paraId="2AA9F9F8"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3871286F" w14:textId="77777777" w:rsidR="0008228C" w:rsidRDefault="00193375">
            <w:pPr>
              <w:spacing w:before="53" w:after="30" w:line="300" w:lineRule="auto"/>
            </w:pPr>
            <w:r>
              <w:rPr>
                <w:color w:val="000000"/>
                <w:sz w:val="14"/>
              </w:rPr>
              <w:t>Interest and fees on loans</w:t>
            </w:r>
          </w:p>
        </w:tc>
        <w:tc>
          <w:tcPr>
            <w:tcW w:w="1695" w:type="dxa"/>
            <w:tcBorders>
              <w:top w:val="nil"/>
              <w:left w:val="nil"/>
              <w:bottom w:val="nil"/>
              <w:right w:val="nil"/>
            </w:tcBorders>
            <w:tcMar>
              <w:top w:w="0" w:type="dxa"/>
              <w:left w:w="0" w:type="dxa"/>
              <w:bottom w:w="0" w:type="dxa"/>
              <w:right w:w="15" w:type="dxa"/>
            </w:tcMar>
            <w:vAlign w:val="bottom"/>
          </w:tcPr>
          <w:p w14:paraId="6828F27A" w14:textId="77777777" w:rsidR="0008228C" w:rsidRDefault="00193375">
            <w:pPr>
              <w:tabs>
                <w:tab w:val="left" w:pos="1197"/>
                <w:tab w:val="left" w:pos="1627"/>
              </w:tabs>
              <w:spacing w:before="53" w:after="30" w:line="300" w:lineRule="auto"/>
              <w:jc w:val="right"/>
            </w:pPr>
            <w:r>
              <w:rPr>
                <w:color w:val="000000"/>
                <w:sz w:val="14"/>
              </w:rPr>
              <w:t>$</w:t>
            </w:r>
            <w:r>
              <w:rPr>
                <w:color w:val="000000"/>
                <w:sz w:val="14"/>
              </w:rPr>
              <w:tab/>
              <w:t>17,731</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5EB2F74"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2A8835A8" w14:textId="77777777" w:rsidR="0008228C" w:rsidRDefault="00193375">
            <w:pPr>
              <w:tabs>
                <w:tab w:val="left" w:pos="1197"/>
                <w:tab w:val="left" w:pos="1627"/>
              </w:tabs>
              <w:spacing w:before="53" w:after="30" w:line="300" w:lineRule="auto"/>
              <w:jc w:val="right"/>
            </w:pPr>
            <w:r>
              <w:rPr>
                <w:color w:val="000000"/>
                <w:sz w:val="14"/>
              </w:rPr>
              <w:t>$</w:t>
            </w:r>
            <w:r>
              <w:rPr>
                <w:color w:val="000000"/>
                <w:sz w:val="14"/>
              </w:rPr>
              <w:tab/>
              <w:t>20,568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467F3091"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8770FE8" w14:textId="77777777" w:rsidR="0008228C" w:rsidRDefault="00193375">
            <w:pPr>
              <w:tabs>
                <w:tab w:val="left" w:pos="1197"/>
                <w:tab w:val="left" w:pos="1627"/>
              </w:tabs>
              <w:spacing w:before="53" w:after="30" w:line="300" w:lineRule="auto"/>
              <w:jc w:val="right"/>
            </w:pPr>
            <w:r>
              <w:rPr>
                <w:color w:val="000000"/>
                <w:sz w:val="14"/>
              </w:rPr>
              <w:t>$</w:t>
            </w:r>
            <w:r>
              <w:rPr>
                <w:color w:val="000000"/>
                <w:sz w:val="14"/>
              </w:rPr>
              <w:tab/>
              <w:t>13,314</w:t>
            </w:r>
            <w:r>
              <w:rPr>
                <w:color w:val="000000"/>
                <w:sz w:val="14"/>
              </w:rPr>
              <w:tab/>
            </w:r>
          </w:p>
        </w:tc>
      </w:tr>
      <w:tr w:rsidR="0008228C" w14:paraId="41C34C95"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55E76BE5" w14:textId="77777777" w:rsidR="0008228C" w:rsidRDefault="00193375">
            <w:pPr>
              <w:spacing w:before="53" w:after="30" w:line="300" w:lineRule="auto"/>
            </w:pPr>
            <w:r>
              <w:rPr>
                <w:color w:val="000000"/>
                <w:sz w:val="14"/>
              </w:rPr>
              <w:t>Interest on debt securities</w:t>
            </w:r>
          </w:p>
        </w:tc>
        <w:tc>
          <w:tcPr>
            <w:tcW w:w="1695" w:type="dxa"/>
            <w:tcBorders>
              <w:top w:val="nil"/>
              <w:left w:val="nil"/>
              <w:bottom w:val="nil"/>
              <w:right w:val="nil"/>
            </w:tcBorders>
            <w:tcMar>
              <w:top w:w="0" w:type="dxa"/>
              <w:left w:w="0" w:type="dxa"/>
              <w:bottom w:w="0" w:type="dxa"/>
              <w:right w:w="15" w:type="dxa"/>
            </w:tcMar>
            <w:vAlign w:val="bottom"/>
          </w:tcPr>
          <w:p w14:paraId="2A231100" w14:textId="77777777" w:rsidR="0008228C" w:rsidRDefault="00193375">
            <w:pPr>
              <w:tabs>
                <w:tab w:val="left" w:pos="1372"/>
                <w:tab w:val="left" w:pos="1627"/>
              </w:tabs>
              <w:spacing w:before="53" w:after="30" w:line="300" w:lineRule="auto"/>
              <w:jc w:val="right"/>
            </w:pPr>
            <w:r>
              <w:rPr>
                <w:color w:val="000000"/>
                <w:sz w:val="14"/>
              </w:rPr>
              <w:tab/>
              <w:t>330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E4FFA8E"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7D4BCCFC" w14:textId="77777777" w:rsidR="0008228C" w:rsidRDefault="00193375">
            <w:pPr>
              <w:tabs>
                <w:tab w:val="left" w:pos="1372"/>
                <w:tab w:val="left" w:pos="1627"/>
              </w:tabs>
              <w:spacing w:before="53" w:after="30" w:line="300" w:lineRule="auto"/>
              <w:jc w:val="right"/>
            </w:pPr>
            <w:r>
              <w:rPr>
                <w:color w:val="000000"/>
                <w:sz w:val="14"/>
              </w:rPr>
              <w:tab/>
              <w:t>139</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003D09D"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0D66F4A0" w14:textId="77777777" w:rsidR="0008228C" w:rsidRDefault="00193375">
            <w:pPr>
              <w:tabs>
                <w:tab w:val="left" w:pos="1372"/>
                <w:tab w:val="left" w:pos="1627"/>
              </w:tabs>
              <w:spacing w:before="53" w:after="30" w:line="300" w:lineRule="auto"/>
              <w:jc w:val="right"/>
            </w:pPr>
            <w:r>
              <w:rPr>
                <w:color w:val="000000"/>
                <w:sz w:val="14"/>
              </w:rPr>
              <w:tab/>
              <w:t>125</w:t>
            </w:r>
            <w:r>
              <w:rPr>
                <w:color w:val="000000"/>
                <w:sz w:val="14"/>
              </w:rPr>
              <w:tab/>
            </w:r>
          </w:p>
        </w:tc>
      </w:tr>
      <w:tr w:rsidR="0008228C" w14:paraId="644BD1ED"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7C5DBB47" w14:textId="77777777" w:rsidR="0008228C" w:rsidRDefault="00193375">
            <w:pPr>
              <w:spacing w:before="53" w:after="30" w:line="300" w:lineRule="auto"/>
            </w:pPr>
            <w:r>
              <w:rPr>
                <w:color w:val="000000"/>
                <w:sz w:val="14"/>
              </w:rPr>
              <w:t>Interest and dividends from other institutions</w:t>
            </w:r>
          </w:p>
        </w:tc>
        <w:tc>
          <w:tcPr>
            <w:tcW w:w="1695" w:type="dxa"/>
            <w:tcBorders>
              <w:top w:val="nil"/>
              <w:left w:val="nil"/>
              <w:bottom w:val="single" w:sz="8" w:space="0" w:color="000000"/>
              <w:right w:val="nil"/>
            </w:tcBorders>
            <w:tcMar>
              <w:top w:w="0" w:type="dxa"/>
              <w:left w:w="0" w:type="dxa"/>
              <w:bottom w:w="0" w:type="dxa"/>
              <w:right w:w="15" w:type="dxa"/>
            </w:tcMar>
            <w:vAlign w:val="bottom"/>
          </w:tcPr>
          <w:p w14:paraId="32E69A1D" w14:textId="77777777" w:rsidR="0008228C" w:rsidRDefault="00193375">
            <w:pPr>
              <w:tabs>
                <w:tab w:val="left" w:pos="1372"/>
                <w:tab w:val="left" w:pos="1627"/>
              </w:tabs>
              <w:spacing w:before="53" w:after="30" w:line="300" w:lineRule="auto"/>
              <w:jc w:val="right"/>
            </w:pPr>
            <w:r>
              <w:rPr>
                <w:color w:val="000000"/>
                <w:sz w:val="14"/>
              </w:rPr>
              <w:tab/>
              <w:t>424</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3B3262C"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1ACC4572" w14:textId="77777777" w:rsidR="0008228C" w:rsidRDefault="00193375">
            <w:pPr>
              <w:tabs>
                <w:tab w:val="left" w:pos="1372"/>
                <w:tab w:val="left" w:pos="1627"/>
              </w:tabs>
              <w:spacing w:before="53" w:after="30" w:line="300" w:lineRule="auto"/>
              <w:jc w:val="right"/>
            </w:pPr>
            <w:r>
              <w:rPr>
                <w:color w:val="000000"/>
                <w:sz w:val="14"/>
              </w:rPr>
              <w:tab/>
              <w:t>407</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2990E9A0"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375F7658" w14:textId="77777777" w:rsidR="0008228C" w:rsidRDefault="00193375">
            <w:pPr>
              <w:tabs>
                <w:tab w:val="left" w:pos="1372"/>
                <w:tab w:val="left" w:pos="1627"/>
              </w:tabs>
              <w:spacing w:before="53" w:after="30" w:line="300" w:lineRule="auto"/>
              <w:jc w:val="right"/>
            </w:pPr>
            <w:r>
              <w:rPr>
                <w:color w:val="000000"/>
                <w:sz w:val="14"/>
              </w:rPr>
              <w:tab/>
              <w:t>162</w:t>
            </w:r>
            <w:r>
              <w:rPr>
                <w:color w:val="000000"/>
                <w:sz w:val="14"/>
              </w:rPr>
              <w:tab/>
            </w:r>
          </w:p>
        </w:tc>
      </w:tr>
      <w:tr w:rsidR="0008228C" w14:paraId="7151D4EA"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4BC167A2" w14:textId="77777777" w:rsidR="0008228C" w:rsidRDefault="00193375">
            <w:pPr>
              <w:spacing w:before="33" w:after="30" w:line="300" w:lineRule="auto"/>
              <w:ind w:left="180"/>
            </w:pPr>
            <w:r>
              <w:rPr>
                <w:color w:val="000000"/>
                <w:sz w:val="14"/>
              </w:rPr>
              <w:t>Total interest and dividend income</w:t>
            </w:r>
          </w:p>
        </w:tc>
        <w:tc>
          <w:tcPr>
            <w:tcW w:w="1695" w:type="dxa"/>
            <w:tcBorders>
              <w:top w:val="single" w:sz="8" w:space="0" w:color="000000"/>
              <w:left w:val="nil"/>
              <w:bottom w:val="nil"/>
              <w:right w:val="nil"/>
            </w:tcBorders>
            <w:tcMar>
              <w:top w:w="0" w:type="dxa"/>
              <w:left w:w="0" w:type="dxa"/>
              <w:bottom w:w="0" w:type="dxa"/>
              <w:right w:w="15" w:type="dxa"/>
            </w:tcMar>
            <w:vAlign w:val="bottom"/>
          </w:tcPr>
          <w:p w14:paraId="55B19954" w14:textId="77777777" w:rsidR="0008228C" w:rsidRDefault="00193375">
            <w:pPr>
              <w:tabs>
                <w:tab w:val="left" w:pos="1197"/>
                <w:tab w:val="left" w:pos="1627"/>
              </w:tabs>
              <w:spacing w:before="33" w:after="30" w:line="300" w:lineRule="auto"/>
              <w:jc w:val="right"/>
            </w:pPr>
            <w:r>
              <w:rPr>
                <w:color w:val="000000"/>
                <w:sz w:val="14"/>
              </w:rPr>
              <w:tab/>
              <w:t>18,485</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953FF70"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467B2FF2" w14:textId="77777777" w:rsidR="0008228C" w:rsidRDefault="00193375">
            <w:pPr>
              <w:tabs>
                <w:tab w:val="left" w:pos="1197"/>
                <w:tab w:val="left" w:pos="1627"/>
              </w:tabs>
              <w:spacing w:before="33" w:after="30" w:line="300" w:lineRule="auto"/>
              <w:jc w:val="right"/>
            </w:pPr>
            <w:r>
              <w:rPr>
                <w:color w:val="000000"/>
                <w:sz w:val="14"/>
              </w:rPr>
              <w:tab/>
              <w:t>21,114</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EEB42F5"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2274AE5C" w14:textId="77777777" w:rsidR="0008228C" w:rsidRDefault="00193375">
            <w:pPr>
              <w:tabs>
                <w:tab w:val="left" w:pos="1197"/>
                <w:tab w:val="left" w:pos="1627"/>
              </w:tabs>
              <w:spacing w:before="33" w:after="30" w:line="300" w:lineRule="auto"/>
              <w:jc w:val="right"/>
            </w:pPr>
            <w:r>
              <w:rPr>
                <w:color w:val="000000"/>
                <w:sz w:val="14"/>
              </w:rPr>
              <w:tab/>
              <w:t>13,601</w:t>
            </w:r>
            <w:r>
              <w:rPr>
                <w:color w:val="000000"/>
                <w:sz w:val="14"/>
              </w:rPr>
              <w:tab/>
            </w:r>
          </w:p>
        </w:tc>
      </w:tr>
      <w:tr w:rsidR="0008228C" w14:paraId="25D32A84" w14:textId="77777777">
        <w:trPr>
          <w:cantSplit/>
          <w:trHeight w:hRule="exact" w:val="300"/>
        </w:trPr>
        <w:tc>
          <w:tcPr>
            <w:tcW w:w="5595" w:type="dxa"/>
            <w:tcBorders>
              <w:top w:val="nil"/>
              <w:left w:val="nil"/>
              <w:bottom w:val="nil"/>
              <w:right w:val="nil"/>
            </w:tcBorders>
            <w:tcMar>
              <w:top w:w="0" w:type="dxa"/>
              <w:left w:w="0" w:type="dxa"/>
              <w:bottom w:w="0" w:type="dxa"/>
              <w:right w:w="0" w:type="dxa"/>
            </w:tcMar>
            <w:vAlign w:val="bottom"/>
          </w:tcPr>
          <w:p w14:paraId="6B61F883"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28879BD3"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571A638"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2402B7DE"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7548D80"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21C536C7" w14:textId="77777777" w:rsidR="0008228C" w:rsidRDefault="0008228C"/>
        </w:tc>
      </w:tr>
      <w:tr w:rsidR="0008228C" w14:paraId="6F4EB2A5"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3112C29A" w14:textId="77777777" w:rsidR="0008228C" w:rsidRDefault="00193375">
            <w:pPr>
              <w:spacing w:before="53" w:after="30" w:line="300" w:lineRule="auto"/>
            </w:pPr>
            <w:r>
              <w:rPr>
                <w:b/>
                <w:color w:val="000000"/>
                <w:sz w:val="14"/>
              </w:rPr>
              <w:t>INTEREST EXPENSE</w:t>
            </w:r>
          </w:p>
        </w:tc>
        <w:tc>
          <w:tcPr>
            <w:tcW w:w="1695" w:type="dxa"/>
            <w:tcBorders>
              <w:top w:val="nil"/>
              <w:left w:val="nil"/>
              <w:bottom w:val="nil"/>
              <w:right w:val="nil"/>
            </w:tcBorders>
            <w:tcMar>
              <w:top w:w="0" w:type="dxa"/>
              <w:left w:w="0" w:type="dxa"/>
              <w:bottom w:w="0" w:type="dxa"/>
              <w:right w:w="0" w:type="dxa"/>
            </w:tcMar>
            <w:vAlign w:val="bottom"/>
          </w:tcPr>
          <w:p w14:paraId="37C04DB6"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77208B2"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1CC47CBE"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8F243F7"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41262463" w14:textId="77777777" w:rsidR="0008228C" w:rsidRDefault="0008228C"/>
        </w:tc>
      </w:tr>
      <w:tr w:rsidR="0008228C" w14:paraId="523362D2"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39284520" w14:textId="77777777" w:rsidR="0008228C" w:rsidRDefault="00193375">
            <w:pPr>
              <w:spacing w:before="53" w:after="30" w:line="300" w:lineRule="auto"/>
            </w:pPr>
            <w:r>
              <w:rPr>
                <w:color w:val="000000"/>
                <w:sz w:val="14"/>
              </w:rPr>
              <w:t>Interest on NOW, savings, and money market accounts</w:t>
            </w:r>
          </w:p>
        </w:tc>
        <w:tc>
          <w:tcPr>
            <w:tcW w:w="1695" w:type="dxa"/>
            <w:tcBorders>
              <w:top w:val="nil"/>
              <w:left w:val="nil"/>
              <w:bottom w:val="nil"/>
              <w:right w:val="nil"/>
            </w:tcBorders>
            <w:tcMar>
              <w:top w:w="0" w:type="dxa"/>
              <w:left w:w="0" w:type="dxa"/>
              <w:bottom w:w="0" w:type="dxa"/>
              <w:right w:w="15" w:type="dxa"/>
            </w:tcMar>
            <w:vAlign w:val="bottom"/>
          </w:tcPr>
          <w:p w14:paraId="58F0A6BA" w14:textId="77777777" w:rsidR="0008228C" w:rsidRDefault="00193375">
            <w:pPr>
              <w:tabs>
                <w:tab w:val="left" w:pos="1372"/>
                <w:tab w:val="left" w:pos="1627"/>
              </w:tabs>
              <w:spacing w:before="53" w:after="30" w:line="300" w:lineRule="auto"/>
              <w:jc w:val="right"/>
            </w:pPr>
            <w:r>
              <w:rPr>
                <w:color w:val="000000"/>
                <w:sz w:val="14"/>
              </w:rPr>
              <w:tab/>
              <w:t>282</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23392010"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618FCE44" w14:textId="77777777" w:rsidR="0008228C" w:rsidRDefault="00193375">
            <w:pPr>
              <w:tabs>
                <w:tab w:val="left" w:pos="1372"/>
                <w:tab w:val="left" w:pos="1627"/>
              </w:tabs>
              <w:spacing w:before="53" w:after="30" w:line="300" w:lineRule="auto"/>
              <w:jc w:val="right"/>
            </w:pPr>
            <w:r>
              <w:rPr>
                <w:color w:val="000000"/>
                <w:sz w:val="14"/>
              </w:rPr>
              <w:tab/>
              <w:t>320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4E8F957"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58B27B5C" w14:textId="77777777" w:rsidR="0008228C" w:rsidRDefault="00193375">
            <w:pPr>
              <w:tabs>
                <w:tab w:val="left" w:pos="1372"/>
                <w:tab w:val="left" w:pos="1627"/>
              </w:tabs>
              <w:spacing w:before="53" w:after="30" w:line="300" w:lineRule="auto"/>
              <w:jc w:val="right"/>
            </w:pPr>
            <w:r>
              <w:rPr>
                <w:color w:val="000000"/>
                <w:sz w:val="14"/>
              </w:rPr>
              <w:tab/>
              <w:t>342</w:t>
            </w:r>
            <w:r>
              <w:rPr>
                <w:color w:val="000000"/>
                <w:sz w:val="14"/>
              </w:rPr>
              <w:tab/>
            </w:r>
          </w:p>
        </w:tc>
      </w:tr>
      <w:tr w:rsidR="0008228C" w14:paraId="1790E1E9"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1862E96F" w14:textId="77777777" w:rsidR="0008228C" w:rsidRDefault="00193375">
            <w:pPr>
              <w:spacing w:before="53" w:after="30" w:line="300" w:lineRule="auto"/>
            </w:pPr>
            <w:r>
              <w:rPr>
                <w:color w:val="000000"/>
                <w:sz w:val="14"/>
              </w:rPr>
              <w:t>Interest on time deposits</w:t>
            </w:r>
          </w:p>
        </w:tc>
        <w:tc>
          <w:tcPr>
            <w:tcW w:w="1695" w:type="dxa"/>
            <w:tcBorders>
              <w:top w:val="nil"/>
              <w:left w:val="nil"/>
              <w:bottom w:val="nil"/>
              <w:right w:val="nil"/>
            </w:tcBorders>
            <w:tcMar>
              <w:top w:w="0" w:type="dxa"/>
              <w:left w:w="0" w:type="dxa"/>
              <w:bottom w:w="0" w:type="dxa"/>
              <w:right w:w="15" w:type="dxa"/>
            </w:tcMar>
            <w:vAlign w:val="bottom"/>
          </w:tcPr>
          <w:p w14:paraId="25A20451" w14:textId="77777777" w:rsidR="0008228C" w:rsidRDefault="00193375">
            <w:pPr>
              <w:tabs>
                <w:tab w:val="left" w:pos="1442"/>
                <w:tab w:val="left" w:pos="1627"/>
              </w:tabs>
              <w:spacing w:before="53" w:after="30" w:line="300" w:lineRule="auto"/>
              <w:jc w:val="right"/>
            </w:pPr>
            <w:r>
              <w:rPr>
                <w:color w:val="000000"/>
                <w:sz w:val="14"/>
              </w:rPr>
              <w:tab/>
              <w:t>98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38C6BB8"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4D0D58F2" w14:textId="77777777" w:rsidR="0008228C" w:rsidRDefault="00193375">
            <w:pPr>
              <w:tabs>
                <w:tab w:val="left" w:pos="1372"/>
                <w:tab w:val="left" w:pos="1627"/>
              </w:tabs>
              <w:spacing w:before="53" w:after="30" w:line="300" w:lineRule="auto"/>
              <w:jc w:val="right"/>
            </w:pPr>
            <w:r>
              <w:rPr>
                <w:color w:val="000000"/>
                <w:sz w:val="14"/>
              </w:rPr>
              <w:tab/>
              <w:t>133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41A135C"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476562EC" w14:textId="77777777" w:rsidR="0008228C" w:rsidRDefault="00193375">
            <w:pPr>
              <w:tabs>
                <w:tab w:val="left" w:pos="1372"/>
                <w:tab w:val="left" w:pos="1627"/>
              </w:tabs>
              <w:spacing w:before="53" w:after="30" w:line="300" w:lineRule="auto"/>
              <w:jc w:val="right"/>
            </w:pPr>
            <w:r>
              <w:rPr>
                <w:color w:val="000000"/>
                <w:sz w:val="14"/>
              </w:rPr>
              <w:tab/>
              <w:t>242</w:t>
            </w:r>
            <w:r>
              <w:rPr>
                <w:color w:val="000000"/>
                <w:sz w:val="14"/>
              </w:rPr>
              <w:tab/>
            </w:r>
          </w:p>
        </w:tc>
      </w:tr>
      <w:tr w:rsidR="0008228C" w14:paraId="3956FCC7"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2C3769E2" w14:textId="77777777" w:rsidR="0008228C" w:rsidRDefault="00193375">
            <w:pPr>
              <w:spacing w:before="53" w:after="30" w:line="300" w:lineRule="auto"/>
            </w:pPr>
            <w:r>
              <w:rPr>
                <w:color w:val="000000"/>
                <w:sz w:val="14"/>
              </w:rPr>
              <w:t>Interest on borrowings</w:t>
            </w:r>
          </w:p>
        </w:tc>
        <w:tc>
          <w:tcPr>
            <w:tcW w:w="1695" w:type="dxa"/>
            <w:tcBorders>
              <w:top w:val="nil"/>
              <w:left w:val="nil"/>
              <w:bottom w:val="single" w:sz="8" w:space="0" w:color="000000"/>
              <w:right w:val="nil"/>
            </w:tcBorders>
            <w:tcMar>
              <w:top w:w="0" w:type="dxa"/>
              <w:left w:w="0" w:type="dxa"/>
              <w:bottom w:w="0" w:type="dxa"/>
              <w:right w:w="15" w:type="dxa"/>
            </w:tcMar>
            <w:vAlign w:val="bottom"/>
          </w:tcPr>
          <w:p w14:paraId="64E5CC74" w14:textId="77777777" w:rsidR="0008228C" w:rsidRDefault="00193375">
            <w:pPr>
              <w:tabs>
                <w:tab w:val="left" w:pos="1372"/>
                <w:tab w:val="left" w:pos="1627"/>
              </w:tabs>
              <w:spacing w:before="53" w:after="30" w:line="300" w:lineRule="auto"/>
              <w:jc w:val="right"/>
            </w:pPr>
            <w:r>
              <w:rPr>
                <w:color w:val="000000"/>
                <w:sz w:val="14"/>
              </w:rPr>
              <w:tab/>
              <w:t>310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EE177AC"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0AB8F327" w14:textId="77777777" w:rsidR="0008228C" w:rsidRDefault="00193375">
            <w:pPr>
              <w:tabs>
                <w:tab w:val="left" w:pos="1372"/>
                <w:tab w:val="left" w:pos="1627"/>
              </w:tabs>
              <w:spacing w:before="53" w:after="30" w:line="300" w:lineRule="auto"/>
              <w:jc w:val="right"/>
            </w:pPr>
            <w:r>
              <w:rPr>
                <w:color w:val="000000"/>
                <w:sz w:val="14"/>
              </w:rPr>
              <w:tab/>
              <w:t>328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454E7B2"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78499145" w14:textId="77777777" w:rsidR="0008228C" w:rsidRDefault="00193375">
            <w:pPr>
              <w:tabs>
                <w:tab w:val="left" w:pos="1372"/>
                <w:tab w:val="left" w:pos="1627"/>
              </w:tabs>
              <w:spacing w:before="53" w:after="30" w:line="300" w:lineRule="auto"/>
              <w:jc w:val="right"/>
            </w:pPr>
            <w:r>
              <w:rPr>
                <w:color w:val="000000"/>
                <w:sz w:val="14"/>
              </w:rPr>
              <w:tab/>
              <w:t>378</w:t>
            </w:r>
            <w:r>
              <w:rPr>
                <w:color w:val="000000"/>
                <w:sz w:val="14"/>
              </w:rPr>
              <w:tab/>
            </w:r>
          </w:p>
        </w:tc>
      </w:tr>
      <w:tr w:rsidR="0008228C" w14:paraId="40DA1CE7"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592C29BF" w14:textId="77777777" w:rsidR="0008228C" w:rsidRDefault="00193375">
            <w:pPr>
              <w:spacing w:before="33" w:after="30" w:line="300" w:lineRule="auto"/>
              <w:ind w:left="180"/>
            </w:pPr>
            <w:r>
              <w:rPr>
                <w:color w:val="000000"/>
                <w:sz w:val="14"/>
              </w:rPr>
              <w:t>Total interest expense</w:t>
            </w:r>
          </w:p>
        </w:tc>
        <w:tc>
          <w:tcPr>
            <w:tcW w:w="1695" w:type="dxa"/>
            <w:tcBorders>
              <w:top w:val="single" w:sz="8" w:space="0" w:color="000000"/>
              <w:left w:val="nil"/>
              <w:bottom w:val="single" w:sz="8" w:space="0" w:color="000000"/>
              <w:right w:val="nil"/>
            </w:tcBorders>
            <w:tcMar>
              <w:top w:w="0" w:type="dxa"/>
              <w:left w:w="0" w:type="dxa"/>
              <w:bottom w:w="0" w:type="dxa"/>
              <w:right w:w="15" w:type="dxa"/>
            </w:tcMar>
            <w:vAlign w:val="bottom"/>
          </w:tcPr>
          <w:p w14:paraId="0E4A5ADB" w14:textId="77777777" w:rsidR="0008228C" w:rsidRDefault="00193375">
            <w:pPr>
              <w:tabs>
                <w:tab w:val="left" w:pos="1372"/>
                <w:tab w:val="left" w:pos="1627"/>
              </w:tabs>
              <w:spacing w:before="33" w:after="30" w:line="300" w:lineRule="auto"/>
              <w:jc w:val="right"/>
            </w:pPr>
            <w:r>
              <w:rPr>
                <w:color w:val="000000"/>
                <w:sz w:val="14"/>
              </w:rPr>
              <w:tab/>
              <w:t>690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58C4E90" w14:textId="77777777" w:rsidR="0008228C" w:rsidRDefault="0008228C">
            <w:pPr>
              <w:spacing w:before="33" w:after="30" w:line="300" w:lineRule="auto"/>
              <w:jc w:val="right"/>
            </w:pPr>
          </w:p>
        </w:tc>
        <w:tc>
          <w:tcPr>
            <w:tcW w:w="1695" w:type="dxa"/>
            <w:tcBorders>
              <w:top w:val="single" w:sz="8" w:space="0" w:color="000000"/>
              <w:left w:val="nil"/>
              <w:bottom w:val="single" w:sz="8" w:space="0" w:color="000000"/>
              <w:right w:val="nil"/>
            </w:tcBorders>
            <w:tcMar>
              <w:top w:w="0" w:type="dxa"/>
              <w:left w:w="0" w:type="dxa"/>
              <w:bottom w:w="0" w:type="dxa"/>
              <w:right w:w="15" w:type="dxa"/>
            </w:tcMar>
            <w:vAlign w:val="bottom"/>
          </w:tcPr>
          <w:p w14:paraId="02AEBD56" w14:textId="77777777" w:rsidR="0008228C" w:rsidRDefault="00193375">
            <w:pPr>
              <w:tabs>
                <w:tab w:val="left" w:pos="1372"/>
                <w:tab w:val="left" w:pos="1627"/>
              </w:tabs>
              <w:spacing w:before="33" w:after="30" w:line="300" w:lineRule="auto"/>
              <w:jc w:val="right"/>
            </w:pPr>
            <w:r>
              <w:rPr>
                <w:color w:val="000000"/>
                <w:sz w:val="14"/>
              </w:rPr>
              <w:tab/>
              <w:t>781</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4A2499D" w14:textId="77777777" w:rsidR="0008228C" w:rsidRDefault="0008228C">
            <w:pPr>
              <w:spacing w:before="33" w:after="30" w:line="300" w:lineRule="auto"/>
              <w:jc w:val="right"/>
            </w:pPr>
          </w:p>
        </w:tc>
        <w:tc>
          <w:tcPr>
            <w:tcW w:w="1695" w:type="dxa"/>
            <w:tcBorders>
              <w:top w:val="single" w:sz="8" w:space="0" w:color="000000"/>
              <w:left w:val="nil"/>
              <w:bottom w:val="single" w:sz="8" w:space="0" w:color="000000"/>
              <w:right w:val="nil"/>
            </w:tcBorders>
            <w:tcMar>
              <w:top w:w="0" w:type="dxa"/>
              <w:left w:w="0" w:type="dxa"/>
              <w:bottom w:w="0" w:type="dxa"/>
              <w:right w:w="15" w:type="dxa"/>
            </w:tcMar>
            <w:vAlign w:val="bottom"/>
          </w:tcPr>
          <w:p w14:paraId="60EEB672" w14:textId="77777777" w:rsidR="0008228C" w:rsidRDefault="00193375">
            <w:pPr>
              <w:tabs>
                <w:tab w:val="left" w:pos="1372"/>
                <w:tab w:val="left" w:pos="1627"/>
              </w:tabs>
              <w:spacing w:before="33" w:after="30" w:line="300" w:lineRule="auto"/>
              <w:jc w:val="right"/>
            </w:pPr>
            <w:r>
              <w:rPr>
                <w:color w:val="000000"/>
                <w:sz w:val="14"/>
              </w:rPr>
              <w:tab/>
              <w:t>962</w:t>
            </w:r>
            <w:r>
              <w:rPr>
                <w:color w:val="000000"/>
                <w:sz w:val="14"/>
              </w:rPr>
              <w:tab/>
            </w:r>
          </w:p>
        </w:tc>
      </w:tr>
      <w:tr w:rsidR="0008228C" w14:paraId="5FACC1FE"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0A93B13F" w14:textId="77777777" w:rsidR="0008228C" w:rsidRDefault="00193375">
            <w:pPr>
              <w:spacing w:before="33" w:after="30" w:line="300" w:lineRule="auto"/>
              <w:ind w:left="180"/>
            </w:pPr>
            <w:r>
              <w:rPr>
                <w:color w:val="000000"/>
                <w:sz w:val="14"/>
              </w:rPr>
              <w:t>Net interest income</w:t>
            </w:r>
          </w:p>
        </w:tc>
        <w:tc>
          <w:tcPr>
            <w:tcW w:w="1695" w:type="dxa"/>
            <w:tcBorders>
              <w:top w:val="single" w:sz="8" w:space="0" w:color="000000"/>
              <w:left w:val="nil"/>
              <w:bottom w:val="nil"/>
              <w:right w:val="nil"/>
            </w:tcBorders>
            <w:tcMar>
              <w:top w:w="0" w:type="dxa"/>
              <w:left w:w="0" w:type="dxa"/>
              <w:bottom w:w="0" w:type="dxa"/>
              <w:right w:w="15" w:type="dxa"/>
            </w:tcMar>
            <w:vAlign w:val="bottom"/>
          </w:tcPr>
          <w:p w14:paraId="5F0383DE" w14:textId="77777777" w:rsidR="0008228C" w:rsidRDefault="00193375">
            <w:pPr>
              <w:tabs>
                <w:tab w:val="left" w:pos="1197"/>
                <w:tab w:val="left" w:pos="1627"/>
              </w:tabs>
              <w:spacing w:before="33" w:after="30" w:line="300" w:lineRule="auto"/>
              <w:jc w:val="right"/>
            </w:pPr>
            <w:r>
              <w:rPr>
                <w:color w:val="000000"/>
                <w:sz w:val="14"/>
              </w:rPr>
              <w:tab/>
              <w:t>17,795</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24E6CE84"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458D62E3" w14:textId="77777777" w:rsidR="0008228C" w:rsidRDefault="00193375">
            <w:pPr>
              <w:tabs>
                <w:tab w:val="left" w:pos="1197"/>
                <w:tab w:val="left" w:pos="1627"/>
              </w:tabs>
              <w:spacing w:before="33" w:after="30" w:line="300" w:lineRule="auto"/>
              <w:jc w:val="right"/>
            </w:pPr>
            <w:r>
              <w:rPr>
                <w:color w:val="000000"/>
                <w:sz w:val="14"/>
              </w:rPr>
              <w:tab/>
              <w:t>20,333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C177C80"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0C1012C5" w14:textId="77777777" w:rsidR="0008228C" w:rsidRDefault="00193375">
            <w:pPr>
              <w:tabs>
                <w:tab w:val="left" w:pos="1197"/>
                <w:tab w:val="left" w:pos="1627"/>
              </w:tabs>
              <w:spacing w:before="33" w:after="30" w:line="300" w:lineRule="auto"/>
              <w:jc w:val="right"/>
            </w:pPr>
            <w:r>
              <w:rPr>
                <w:color w:val="000000"/>
                <w:sz w:val="14"/>
              </w:rPr>
              <w:tab/>
              <w:t>12,639</w:t>
            </w:r>
            <w:r>
              <w:rPr>
                <w:color w:val="000000"/>
                <w:sz w:val="14"/>
              </w:rPr>
              <w:tab/>
            </w:r>
          </w:p>
        </w:tc>
      </w:tr>
      <w:tr w:rsidR="0008228C" w14:paraId="22566975" w14:textId="77777777">
        <w:trPr>
          <w:cantSplit/>
          <w:trHeight w:hRule="exact" w:val="300"/>
        </w:trPr>
        <w:tc>
          <w:tcPr>
            <w:tcW w:w="5595" w:type="dxa"/>
            <w:tcBorders>
              <w:top w:val="nil"/>
              <w:left w:val="nil"/>
              <w:bottom w:val="nil"/>
              <w:right w:val="nil"/>
            </w:tcBorders>
            <w:tcMar>
              <w:top w:w="0" w:type="dxa"/>
              <w:left w:w="0" w:type="dxa"/>
              <w:bottom w:w="0" w:type="dxa"/>
              <w:right w:w="0" w:type="dxa"/>
            </w:tcMar>
            <w:vAlign w:val="bottom"/>
          </w:tcPr>
          <w:p w14:paraId="019B107C"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34D4050B"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4D23FFA"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50ED3C03"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8242DAF"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5EF9704F" w14:textId="77777777" w:rsidR="0008228C" w:rsidRDefault="0008228C"/>
        </w:tc>
      </w:tr>
      <w:tr w:rsidR="0008228C" w14:paraId="161A1094"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6818706A" w14:textId="77777777" w:rsidR="0008228C" w:rsidRDefault="00193375">
            <w:pPr>
              <w:spacing w:before="53" w:after="30" w:line="300" w:lineRule="auto"/>
            </w:pPr>
            <w:r>
              <w:rPr>
                <w:color w:val="000000"/>
                <w:sz w:val="14"/>
              </w:rPr>
              <w:t>Provision for loan losses</w:t>
            </w:r>
          </w:p>
        </w:tc>
        <w:tc>
          <w:tcPr>
            <w:tcW w:w="1695" w:type="dxa"/>
            <w:tcBorders>
              <w:top w:val="nil"/>
              <w:left w:val="nil"/>
              <w:bottom w:val="single" w:sz="8" w:space="0" w:color="000000"/>
              <w:right w:val="nil"/>
            </w:tcBorders>
            <w:tcMar>
              <w:top w:w="0" w:type="dxa"/>
              <w:left w:w="0" w:type="dxa"/>
              <w:bottom w:w="0" w:type="dxa"/>
              <w:right w:w="15" w:type="dxa"/>
            </w:tcMar>
            <w:vAlign w:val="bottom"/>
          </w:tcPr>
          <w:p w14:paraId="0C9D7438" w14:textId="77777777" w:rsidR="0008228C" w:rsidRDefault="00193375">
            <w:pPr>
              <w:tabs>
                <w:tab w:val="left" w:pos="1267"/>
                <w:tab w:val="left" w:pos="1627"/>
              </w:tabs>
              <w:spacing w:before="53" w:after="30" w:line="300" w:lineRule="auto"/>
              <w:jc w:val="right"/>
            </w:pPr>
            <w:r>
              <w:rPr>
                <w:color w:val="000000"/>
                <w:sz w:val="14"/>
              </w:rPr>
              <w:tab/>
              <w:t>1,850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F80366E"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44B4C246" w14:textId="77777777" w:rsidR="0008228C" w:rsidRDefault="00193375">
            <w:pPr>
              <w:tabs>
                <w:tab w:val="left" w:pos="1267"/>
                <w:tab w:val="left" w:pos="1627"/>
              </w:tabs>
              <w:spacing w:before="53" w:after="30" w:line="300" w:lineRule="auto"/>
              <w:jc w:val="right"/>
            </w:pPr>
            <w:r>
              <w:rPr>
                <w:color w:val="000000"/>
                <w:sz w:val="14"/>
              </w:rPr>
              <w:tab/>
              <w:t>1,200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58DC6A0"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0B09E81B" w14:textId="77777777" w:rsidR="0008228C" w:rsidRDefault="00193375">
            <w:pPr>
              <w:tabs>
                <w:tab w:val="left" w:pos="1442"/>
                <w:tab w:val="left" w:pos="1627"/>
              </w:tabs>
              <w:spacing w:before="53" w:after="30" w:line="300" w:lineRule="auto"/>
              <w:jc w:val="right"/>
            </w:pPr>
            <w:r>
              <w:rPr>
                <w:color w:val="000000"/>
                <w:sz w:val="14"/>
              </w:rPr>
              <w:tab/>
              <w:t>—</w:t>
            </w:r>
            <w:r>
              <w:rPr>
                <w:color w:val="000000"/>
                <w:sz w:val="14"/>
              </w:rPr>
              <w:tab/>
            </w:r>
          </w:p>
        </w:tc>
      </w:tr>
      <w:tr w:rsidR="0008228C" w14:paraId="1DAAB70D"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00FABD29" w14:textId="77777777" w:rsidR="0008228C" w:rsidRDefault="00193375">
            <w:pPr>
              <w:spacing w:before="33" w:after="30" w:line="300" w:lineRule="auto"/>
              <w:ind w:left="180"/>
            </w:pPr>
            <w:r>
              <w:rPr>
                <w:color w:val="000000"/>
                <w:sz w:val="14"/>
              </w:rPr>
              <w:t>Net interest income after provision for loan losses</w:t>
            </w:r>
          </w:p>
        </w:tc>
        <w:tc>
          <w:tcPr>
            <w:tcW w:w="1695" w:type="dxa"/>
            <w:tcBorders>
              <w:top w:val="single" w:sz="8" w:space="0" w:color="000000"/>
              <w:left w:val="nil"/>
              <w:bottom w:val="nil"/>
              <w:right w:val="nil"/>
            </w:tcBorders>
            <w:tcMar>
              <w:top w:w="0" w:type="dxa"/>
              <w:left w:w="0" w:type="dxa"/>
              <w:bottom w:w="0" w:type="dxa"/>
              <w:right w:w="15" w:type="dxa"/>
            </w:tcMar>
            <w:vAlign w:val="bottom"/>
          </w:tcPr>
          <w:p w14:paraId="2E3774A2" w14:textId="77777777" w:rsidR="0008228C" w:rsidRDefault="00193375">
            <w:pPr>
              <w:tabs>
                <w:tab w:val="left" w:pos="1197"/>
                <w:tab w:val="left" w:pos="1627"/>
              </w:tabs>
              <w:spacing w:before="33" w:after="30" w:line="300" w:lineRule="auto"/>
              <w:jc w:val="right"/>
            </w:pPr>
            <w:r>
              <w:rPr>
                <w:color w:val="000000"/>
                <w:sz w:val="14"/>
              </w:rPr>
              <w:tab/>
              <w:t>15,945</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2082412C"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400AFD8E" w14:textId="77777777" w:rsidR="0008228C" w:rsidRDefault="00193375">
            <w:pPr>
              <w:tabs>
                <w:tab w:val="left" w:pos="1197"/>
                <w:tab w:val="left" w:pos="1627"/>
              </w:tabs>
              <w:spacing w:before="33" w:after="30" w:line="300" w:lineRule="auto"/>
              <w:jc w:val="right"/>
            </w:pPr>
            <w:r>
              <w:rPr>
                <w:color w:val="000000"/>
                <w:sz w:val="14"/>
              </w:rPr>
              <w:tab/>
              <w:t>19,133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0ADF423"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2C7B9FB5" w14:textId="77777777" w:rsidR="0008228C" w:rsidRDefault="00193375">
            <w:pPr>
              <w:tabs>
                <w:tab w:val="left" w:pos="1197"/>
                <w:tab w:val="left" w:pos="1627"/>
              </w:tabs>
              <w:spacing w:before="33" w:after="30" w:line="300" w:lineRule="auto"/>
              <w:jc w:val="right"/>
            </w:pPr>
            <w:r>
              <w:rPr>
                <w:color w:val="000000"/>
                <w:sz w:val="14"/>
              </w:rPr>
              <w:tab/>
              <w:t>12,639</w:t>
            </w:r>
            <w:r>
              <w:rPr>
                <w:color w:val="000000"/>
                <w:sz w:val="14"/>
              </w:rPr>
              <w:tab/>
            </w:r>
          </w:p>
        </w:tc>
      </w:tr>
      <w:tr w:rsidR="0008228C" w14:paraId="3AE3F4B3" w14:textId="77777777">
        <w:trPr>
          <w:cantSplit/>
          <w:trHeight w:hRule="exact" w:val="300"/>
        </w:trPr>
        <w:tc>
          <w:tcPr>
            <w:tcW w:w="5595" w:type="dxa"/>
            <w:tcBorders>
              <w:top w:val="nil"/>
              <w:left w:val="nil"/>
              <w:bottom w:val="nil"/>
              <w:right w:val="nil"/>
            </w:tcBorders>
            <w:tcMar>
              <w:top w:w="0" w:type="dxa"/>
              <w:left w:w="0" w:type="dxa"/>
              <w:bottom w:w="0" w:type="dxa"/>
              <w:right w:w="0" w:type="dxa"/>
            </w:tcMar>
            <w:vAlign w:val="bottom"/>
          </w:tcPr>
          <w:p w14:paraId="393D39F7"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7CE57874"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A4AF9D2"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795EB48B"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1412EBC"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7CAAAE0C" w14:textId="77777777" w:rsidR="0008228C" w:rsidRDefault="0008228C"/>
        </w:tc>
      </w:tr>
      <w:tr w:rsidR="0008228C" w14:paraId="0CD716DA"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562F580F" w14:textId="77777777" w:rsidR="0008228C" w:rsidRDefault="00193375">
            <w:pPr>
              <w:spacing w:before="53" w:after="30" w:line="300" w:lineRule="auto"/>
            </w:pPr>
            <w:r>
              <w:rPr>
                <w:b/>
                <w:color w:val="000000"/>
                <w:sz w:val="14"/>
              </w:rPr>
              <w:t>NONINTEREST INCOME</w:t>
            </w:r>
          </w:p>
        </w:tc>
        <w:tc>
          <w:tcPr>
            <w:tcW w:w="1695" w:type="dxa"/>
            <w:tcBorders>
              <w:top w:val="nil"/>
              <w:left w:val="nil"/>
              <w:bottom w:val="nil"/>
              <w:right w:val="nil"/>
            </w:tcBorders>
            <w:tcMar>
              <w:top w:w="0" w:type="dxa"/>
              <w:left w:w="0" w:type="dxa"/>
              <w:bottom w:w="0" w:type="dxa"/>
              <w:right w:w="0" w:type="dxa"/>
            </w:tcMar>
            <w:vAlign w:val="bottom"/>
          </w:tcPr>
          <w:p w14:paraId="715219E7"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5B8A6AE"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47DF537A"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D92494F"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50133B4F" w14:textId="77777777" w:rsidR="0008228C" w:rsidRDefault="0008228C"/>
        </w:tc>
      </w:tr>
      <w:tr w:rsidR="0008228C" w14:paraId="2636FEA6"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329451CF" w14:textId="77777777" w:rsidR="0008228C" w:rsidRDefault="00193375">
            <w:pPr>
              <w:spacing w:before="53" w:after="30" w:line="300" w:lineRule="auto"/>
            </w:pPr>
            <w:r>
              <w:rPr>
                <w:color w:val="000000"/>
                <w:sz w:val="14"/>
              </w:rPr>
              <w:t>Service charges and fees on deposit accounts</w:t>
            </w:r>
          </w:p>
        </w:tc>
        <w:tc>
          <w:tcPr>
            <w:tcW w:w="1695" w:type="dxa"/>
            <w:tcBorders>
              <w:top w:val="nil"/>
              <w:left w:val="nil"/>
              <w:bottom w:val="nil"/>
              <w:right w:val="nil"/>
            </w:tcBorders>
            <w:tcMar>
              <w:top w:w="0" w:type="dxa"/>
              <w:left w:w="0" w:type="dxa"/>
              <w:bottom w:w="0" w:type="dxa"/>
              <w:right w:w="15" w:type="dxa"/>
            </w:tcMar>
            <w:vAlign w:val="bottom"/>
          </w:tcPr>
          <w:p w14:paraId="7F1336E8" w14:textId="77777777" w:rsidR="0008228C" w:rsidRDefault="00193375">
            <w:pPr>
              <w:tabs>
                <w:tab w:val="left" w:pos="1372"/>
                <w:tab w:val="left" w:pos="1627"/>
              </w:tabs>
              <w:spacing w:before="53" w:after="30" w:line="300" w:lineRule="auto"/>
              <w:jc w:val="right"/>
            </w:pPr>
            <w:r>
              <w:rPr>
                <w:color w:val="000000"/>
                <w:sz w:val="14"/>
              </w:rPr>
              <w:tab/>
              <w:t>487</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F2E51C7"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4F03FD8F" w14:textId="77777777" w:rsidR="0008228C" w:rsidRDefault="00193375">
            <w:pPr>
              <w:tabs>
                <w:tab w:val="left" w:pos="1372"/>
                <w:tab w:val="left" w:pos="1627"/>
              </w:tabs>
              <w:spacing w:before="53" w:after="30" w:line="300" w:lineRule="auto"/>
              <w:jc w:val="right"/>
            </w:pPr>
            <w:r>
              <w:rPr>
                <w:color w:val="000000"/>
                <w:sz w:val="14"/>
              </w:rPr>
              <w:tab/>
              <w:t>501</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7232E9D"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4BC02ACE" w14:textId="77777777" w:rsidR="0008228C" w:rsidRDefault="00193375">
            <w:pPr>
              <w:tabs>
                <w:tab w:val="left" w:pos="1372"/>
                <w:tab w:val="left" w:pos="1627"/>
              </w:tabs>
              <w:spacing w:before="53" w:after="30" w:line="300" w:lineRule="auto"/>
              <w:jc w:val="right"/>
            </w:pPr>
            <w:r>
              <w:rPr>
                <w:color w:val="000000"/>
                <w:sz w:val="14"/>
              </w:rPr>
              <w:tab/>
              <w:t>351</w:t>
            </w:r>
            <w:r>
              <w:rPr>
                <w:color w:val="000000"/>
                <w:sz w:val="14"/>
              </w:rPr>
              <w:tab/>
            </w:r>
          </w:p>
        </w:tc>
      </w:tr>
      <w:tr w:rsidR="0008228C" w14:paraId="098CED86"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26D3E9AB" w14:textId="77777777" w:rsidR="0008228C" w:rsidRDefault="00193375">
            <w:pPr>
              <w:spacing w:before="53" w:after="30" w:line="300" w:lineRule="auto"/>
            </w:pPr>
            <w:r>
              <w:rPr>
                <w:color w:val="000000"/>
                <w:sz w:val="14"/>
              </w:rPr>
              <w:t>Gain on sale of loans</w:t>
            </w:r>
          </w:p>
        </w:tc>
        <w:tc>
          <w:tcPr>
            <w:tcW w:w="1695" w:type="dxa"/>
            <w:tcBorders>
              <w:top w:val="nil"/>
              <w:left w:val="nil"/>
              <w:bottom w:val="nil"/>
              <w:right w:val="nil"/>
            </w:tcBorders>
            <w:tcMar>
              <w:top w:w="0" w:type="dxa"/>
              <w:left w:w="0" w:type="dxa"/>
              <w:bottom w:w="0" w:type="dxa"/>
              <w:right w:w="15" w:type="dxa"/>
            </w:tcMar>
            <w:vAlign w:val="bottom"/>
          </w:tcPr>
          <w:p w14:paraId="2AB803EA" w14:textId="77777777" w:rsidR="0008228C" w:rsidRDefault="00193375">
            <w:pPr>
              <w:tabs>
                <w:tab w:val="left" w:pos="1442"/>
                <w:tab w:val="left" w:pos="1627"/>
              </w:tabs>
              <w:spacing w:before="53" w:after="30" w:line="300" w:lineRule="auto"/>
              <w:jc w:val="right"/>
            </w:pPr>
            <w:r>
              <w:rPr>
                <w:color w:val="000000"/>
                <w:sz w:val="14"/>
              </w:rPr>
              <w:tab/>
              <w:t>49</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07AE3B9"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357F277E" w14:textId="77777777" w:rsidR="0008228C" w:rsidRDefault="00193375">
            <w:pPr>
              <w:tabs>
                <w:tab w:val="left" w:pos="1442"/>
                <w:tab w:val="left" w:pos="1627"/>
              </w:tabs>
              <w:spacing w:before="53" w:after="30" w:line="300" w:lineRule="auto"/>
              <w:jc w:val="right"/>
            </w:pPr>
            <w:r>
              <w:rPr>
                <w:color w:val="000000"/>
                <w:sz w:val="14"/>
              </w:rPr>
              <w:tab/>
              <w:t>—</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A1AED34"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260ADB54" w14:textId="77777777" w:rsidR="0008228C" w:rsidRDefault="00193375">
            <w:pPr>
              <w:tabs>
                <w:tab w:val="left" w:pos="1442"/>
                <w:tab w:val="left" w:pos="1627"/>
              </w:tabs>
              <w:spacing w:before="53" w:after="30" w:line="300" w:lineRule="auto"/>
              <w:jc w:val="right"/>
            </w:pPr>
            <w:r>
              <w:rPr>
                <w:color w:val="000000"/>
                <w:sz w:val="14"/>
              </w:rPr>
              <w:tab/>
              <w:t>—</w:t>
            </w:r>
            <w:r>
              <w:rPr>
                <w:color w:val="000000"/>
                <w:sz w:val="14"/>
              </w:rPr>
              <w:tab/>
            </w:r>
          </w:p>
        </w:tc>
      </w:tr>
      <w:tr w:rsidR="0008228C" w14:paraId="23DC488B"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7E80F682" w14:textId="77777777" w:rsidR="0008228C" w:rsidRDefault="00193375">
            <w:pPr>
              <w:spacing w:before="53" w:after="30" w:line="300" w:lineRule="auto"/>
            </w:pPr>
            <w:r>
              <w:rPr>
                <w:color w:val="000000"/>
                <w:sz w:val="14"/>
              </w:rPr>
              <w:t>Bank owned life insurance income</w:t>
            </w:r>
          </w:p>
        </w:tc>
        <w:tc>
          <w:tcPr>
            <w:tcW w:w="1695" w:type="dxa"/>
            <w:tcBorders>
              <w:top w:val="nil"/>
              <w:left w:val="nil"/>
              <w:bottom w:val="nil"/>
              <w:right w:val="nil"/>
            </w:tcBorders>
            <w:tcMar>
              <w:top w:w="0" w:type="dxa"/>
              <w:left w:w="0" w:type="dxa"/>
              <w:bottom w:w="0" w:type="dxa"/>
              <w:right w:w="15" w:type="dxa"/>
            </w:tcMar>
            <w:vAlign w:val="bottom"/>
          </w:tcPr>
          <w:p w14:paraId="347DC859" w14:textId="77777777" w:rsidR="0008228C" w:rsidRDefault="00193375">
            <w:pPr>
              <w:tabs>
                <w:tab w:val="left" w:pos="1372"/>
                <w:tab w:val="left" w:pos="1627"/>
              </w:tabs>
              <w:spacing w:before="53" w:after="30" w:line="300" w:lineRule="auto"/>
              <w:jc w:val="right"/>
            </w:pPr>
            <w:r>
              <w:rPr>
                <w:color w:val="000000"/>
                <w:sz w:val="14"/>
              </w:rPr>
              <w:tab/>
              <w:t>832</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87BC031"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E890B0B" w14:textId="77777777" w:rsidR="0008228C" w:rsidRDefault="00193375">
            <w:pPr>
              <w:tabs>
                <w:tab w:val="left" w:pos="1372"/>
                <w:tab w:val="left" w:pos="1627"/>
              </w:tabs>
              <w:spacing w:before="53" w:after="30" w:line="300" w:lineRule="auto"/>
              <w:jc w:val="right"/>
            </w:pPr>
            <w:r>
              <w:rPr>
                <w:color w:val="000000"/>
                <w:sz w:val="14"/>
              </w:rPr>
              <w:tab/>
              <w:t>219</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A796669"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6E5A9392" w14:textId="77777777" w:rsidR="0008228C" w:rsidRDefault="00193375">
            <w:pPr>
              <w:tabs>
                <w:tab w:val="left" w:pos="1372"/>
                <w:tab w:val="left" w:pos="1627"/>
              </w:tabs>
              <w:spacing w:before="53" w:after="30" w:line="300" w:lineRule="auto"/>
              <w:jc w:val="right"/>
            </w:pPr>
            <w:r>
              <w:rPr>
                <w:color w:val="000000"/>
                <w:sz w:val="14"/>
              </w:rPr>
              <w:tab/>
              <w:t>103</w:t>
            </w:r>
            <w:r>
              <w:rPr>
                <w:color w:val="000000"/>
                <w:sz w:val="14"/>
              </w:rPr>
              <w:tab/>
            </w:r>
          </w:p>
        </w:tc>
      </w:tr>
      <w:tr w:rsidR="0008228C" w14:paraId="7CED008A"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54D7C3C1" w14:textId="77777777" w:rsidR="0008228C" w:rsidRDefault="00193375">
            <w:pPr>
              <w:spacing w:before="53" w:after="30" w:line="300" w:lineRule="auto"/>
            </w:pPr>
            <w:r>
              <w:rPr>
                <w:color w:val="000000"/>
                <w:sz w:val="14"/>
              </w:rPr>
              <w:t>Servicing and related income on loans</w:t>
            </w:r>
          </w:p>
        </w:tc>
        <w:tc>
          <w:tcPr>
            <w:tcW w:w="1695" w:type="dxa"/>
            <w:tcBorders>
              <w:top w:val="nil"/>
              <w:left w:val="nil"/>
              <w:bottom w:val="nil"/>
              <w:right w:val="nil"/>
            </w:tcBorders>
            <w:tcMar>
              <w:top w:w="0" w:type="dxa"/>
              <w:left w:w="0" w:type="dxa"/>
              <w:bottom w:w="0" w:type="dxa"/>
              <w:right w:w="15" w:type="dxa"/>
            </w:tcMar>
            <w:vAlign w:val="bottom"/>
          </w:tcPr>
          <w:p w14:paraId="747D92FC" w14:textId="77777777" w:rsidR="0008228C" w:rsidRDefault="00193375">
            <w:pPr>
              <w:tabs>
                <w:tab w:val="left" w:pos="1442"/>
                <w:tab w:val="left" w:pos="1627"/>
              </w:tabs>
              <w:spacing w:before="53" w:after="30" w:line="300" w:lineRule="auto"/>
              <w:jc w:val="right"/>
            </w:pPr>
            <w:r>
              <w:rPr>
                <w:color w:val="000000"/>
                <w:sz w:val="14"/>
              </w:rPr>
              <w:tab/>
              <w:t>69</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07CBF84"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CCBE912" w14:textId="77777777" w:rsidR="0008228C" w:rsidRDefault="00193375">
            <w:pPr>
              <w:tabs>
                <w:tab w:val="left" w:pos="1512"/>
                <w:tab w:val="left" w:pos="1627"/>
              </w:tabs>
              <w:spacing w:before="53" w:after="30" w:line="300" w:lineRule="auto"/>
              <w:jc w:val="right"/>
            </w:pPr>
            <w:r>
              <w:rPr>
                <w:color w:val="000000"/>
                <w:sz w:val="14"/>
              </w:rPr>
              <w:tab/>
              <w:t>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5B92144"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3A3E23B7" w14:textId="77777777" w:rsidR="0008228C" w:rsidRDefault="00193375">
            <w:pPr>
              <w:tabs>
                <w:tab w:val="left" w:pos="1442"/>
                <w:tab w:val="left" w:pos="1627"/>
              </w:tabs>
              <w:spacing w:before="53" w:after="30" w:line="300" w:lineRule="auto"/>
              <w:jc w:val="right"/>
            </w:pPr>
            <w:r>
              <w:rPr>
                <w:color w:val="000000"/>
                <w:sz w:val="14"/>
              </w:rPr>
              <w:tab/>
              <w:t>33</w:t>
            </w:r>
            <w:r>
              <w:rPr>
                <w:color w:val="000000"/>
                <w:sz w:val="14"/>
              </w:rPr>
              <w:tab/>
            </w:r>
          </w:p>
        </w:tc>
      </w:tr>
      <w:tr w:rsidR="0008228C" w14:paraId="29068E2B"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2B3A9EE7" w14:textId="77777777" w:rsidR="0008228C" w:rsidRDefault="00193375">
            <w:pPr>
              <w:spacing w:before="53" w:after="30" w:line="300" w:lineRule="auto"/>
            </w:pPr>
            <w:r>
              <w:rPr>
                <w:color w:val="000000"/>
                <w:sz w:val="14"/>
              </w:rPr>
              <w:t>Gain on sale of debt securities</w:t>
            </w:r>
          </w:p>
        </w:tc>
        <w:tc>
          <w:tcPr>
            <w:tcW w:w="1695" w:type="dxa"/>
            <w:tcBorders>
              <w:top w:val="nil"/>
              <w:left w:val="nil"/>
              <w:bottom w:val="nil"/>
              <w:right w:val="nil"/>
            </w:tcBorders>
            <w:tcMar>
              <w:top w:w="0" w:type="dxa"/>
              <w:left w:w="0" w:type="dxa"/>
              <w:bottom w:w="0" w:type="dxa"/>
              <w:right w:w="15" w:type="dxa"/>
            </w:tcMar>
            <w:vAlign w:val="bottom"/>
          </w:tcPr>
          <w:p w14:paraId="02EEC5A2" w14:textId="77777777" w:rsidR="0008228C" w:rsidRDefault="00193375">
            <w:pPr>
              <w:tabs>
                <w:tab w:val="left" w:pos="1442"/>
                <w:tab w:val="left" w:pos="1627"/>
              </w:tabs>
              <w:spacing w:before="53" w:after="30" w:line="300" w:lineRule="auto"/>
              <w:jc w:val="right"/>
            </w:pPr>
            <w:r>
              <w:rPr>
                <w:color w:val="000000"/>
                <w:sz w:val="14"/>
              </w:rPr>
              <w:tab/>
              <w:t>—</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D2096CB"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0645B368" w14:textId="77777777" w:rsidR="0008228C" w:rsidRDefault="00193375">
            <w:pPr>
              <w:tabs>
                <w:tab w:val="left" w:pos="1466"/>
              </w:tabs>
              <w:spacing w:before="53" w:after="30" w:line="300" w:lineRule="auto"/>
              <w:jc w:val="right"/>
            </w:pPr>
            <w:r>
              <w:rPr>
                <w:color w:val="000000"/>
                <w:sz w:val="14"/>
              </w:rPr>
              <w:tab/>
              <w:t>(9)</w:t>
            </w:r>
          </w:p>
        </w:tc>
        <w:tc>
          <w:tcPr>
            <w:tcW w:w="60" w:type="dxa"/>
            <w:tcBorders>
              <w:top w:val="nil"/>
              <w:left w:val="nil"/>
              <w:bottom w:val="nil"/>
              <w:right w:val="nil"/>
            </w:tcBorders>
            <w:tcMar>
              <w:top w:w="0" w:type="dxa"/>
              <w:left w:w="0" w:type="dxa"/>
              <w:bottom w:w="0" w:type="dxa"/>
              <w:right w:w="15" w:type="dxa"/>
            </w:tcMar>
            <w:vAlign w:val="bottom"/>
          </w:tcPr>
          <w:p w14:paraId="3B00561A"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6F3FB90" w14:textId="77777777" w:rsidR="0008228C" w:rsidRDefault="00193375">
            <w:pPr>
              <w:tabs>
                <w:tab w:val="left" w:pos="1442"/>
                <w:tab w:val="left" w:pos="1627"/>
              </w:tabs>
              <w:spacing w:before="53" w:after="30" w:line="300" w:lineRule="auto"/>
              <w:jc w:val="right"/>
            </w:pPr>
            <w:r>
              <w:rPr>
                <w:color w:val="000000"/>
                <w:sz w:val="14"/>
              </w:rPr>
              <w:tab/>
              <w:t>—</w:t>
            </w:r>
            <w:r>
              <w:rPr>
                <w:color w:val="000000"/>
                <w:sz w:val="14"/>
              </w:rPr>
              <w:tab/>
            </w:r>
          </w:p>
        </w:tc>
      </w:tr>
      <w:tr w:rsidR="0008228C" w14:paraId="76DEB939"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7B88CCB4" w14:textId="77777777" w:rsidR="0008228C" w:rsidRDefault="00193375">
            <w:pPr>
              <w:spacing w:before="53" w:after="30" w:line="300" w:lineRule="auto"/>
            </w:pPr>
            <w:r>
              <w:rPr>
                <w:color w:val="000000"/>
                <w:sz w:val="14"/>
              </w:rPr>
              <w:t>Loss on sale, disposal of fixed assets</w:t>
            </w:r>
          </w:p>
        </w:tc>
        <w:tc>
          <w:tcPr>
            <w:tcW w:w="1695" w:type="dxa"/>
            <w:tcBorders>
              <w:top w:val="nil"/>
              <w:left w:val="nil"/>
              <w:bottom w:val="nil"/>
              <w:right w:val="nil"/>
            </w:tcBorders>
            <w:tcMar>
              <w:top w:w="0" w:type="dxa"/>
              <w:left w:w="0" w:type="dxa"/>
              <w:bottom w:w="0" w:type="dxa"/>
              <w:right w:w="15" w:type="dxa"/>
            </w:tcMar>
            <w:vAlign w:val="bottom"/>
          </w:tcPr>
          <w:p w14:paraId="4A22015D" w14:textId="77777777" w:rsidR="0008228C" w:rsidRDefault="00193375">
            <w:pPr>
              <w:tabs>
                <w:tab w:val="left" w:pos="1442"/>
                <w:tab w:val="left" w:pos="1627"/>
              </w:tabs>
              <w:spacing w:before="53" w:after="30" w:line="300" w:lineRule="auto"/>
              <w:jc w:val="right"/>
            </w:pPr>
            <w:r>
              <w:rPr>
                <w:color w:val="000000"/>
                <w:sz w:val="14"/>
              </w:rPr>
              <w:tab/>
              <w:t>—</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59B1CE3"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7AAFEA9B" w14:textId="77777777" w:rsidR="0008228C" w:rsidRDefault="00193375">
            <w:pPr>
              <w:tabs>
                <w:tab w:val="left" w:pos="1442"/>
                <w:tab w:val="left" w:pos="1627"/>
              </w:tabs>
              <w:spacing w:before="53" w:after="30" w:line="300" w:lineRule="auto"/>
              <w:jc w:val="right"/>
            </w:pPr>
            <w:r>
              <w:rPr>
                <w:color w:val="000000"/>
                <w:sz w:val="14"/>
              </w:rPr>
              <w:tab/>
              <w:t>—</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49C83AB6"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21814271" w14:textId="77777777" w:rsidR="0008228C" w:rsidRDefault="00193375">
            <w:pPr>
              <w:tabs>
                <w:tab w:val="left" w:pos="1466"/>
              </w:tabs>
              <w:spacing w:before="53" w:after="30" w:line="300" w:lineRule="auto"/>
              <w:jc w:val="right"/>
            </w:pPr>
            <w:r>
              <w:rPr>
                <w:color w:val="000000"/>
                <w:sz w:val="14"/>
              </w:rPr>
              <w:tab/>
              <w:t>(4)</w:t>
            </w:r>
          </w:p>
        </w:tc>
      </w:tr>
      <w:tr w:rsidR="0008228C" w14:paraId="43DAA5EF"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5974A72F" w14:textId="77777777" w:rsidR="0008228C" w:rsidRDefault="00193375">
            <w:pPr>
              <w:spacing w:before="53" w:after="30" w:line="300" w:lineRule="auto"/>
            </w:pPr>
            <w:r>
              <w:rPr>
                <w:color w:val="000000"/>
                <w:sz w:val="14"/>
              </w:rPr>
              <w:t>Gain on branch sale</w:t>
            </w:r>
          </w:p>
        </w:tc>
        <w:tc>
          <w:tcPr>
            <w:tcW w:w="1695" w:type="dxa"/>
            <w:tcBorders>
              <w:top w:val="nil"/>
              <w:left w:val="nil"/>
              <w:bottom w:val="nil"/>
              <w:right w:val="nil"/>
            </w:tcBorders>
            <w:tcMar>
              <w:top w:w="0" w:type="dxa"/>
              <w:left w:w="0" w:type="dxa"/>
              <w:bottom w:w="0" w:type="dxa"/>
              <w:right w:w="15" w:type="dxa"/>
            </w:tcMar>
            <w:vAlign w:val="bottom"/>
          </w:tcPr>
          <w:p w14:paraId="6B3E8A11" w14:textId="77777777" w:rsidR="0008228C" w:rsidRDefault="00193375">
            <w:pPr>
              <w:tabs>
                <w:tab w:val="left" w:pos="1442"/>
                <w:tab w:val="left" w:pos="1627"/>
              </w:tabs>
              <w:spacing w:before="53" w:after="30" w:line="300" w:lineRule="auto"/>
              <w:jc w:val="right"/>
            </w:pPr>
            <w:r>
              <w:rPr>
                <w:color w:val="000000"/>
                <w:sz w:val="14"/>
              </w:rPr>
              <w:tab/>
              <w:t>—</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9439FC4"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2550A22" w14:textId="77777777" w:rsidR="0008228C" w:rsidRDefault="00193375">
            <w:pPr>
              <w:tabs>
                <w:tab w:val="left" w:pos="1326"/>
              </w:tabs>
              <w:spacing w:before="53" w:after="30" w:line="300" w:lineRule="auto"/>
              <w:jc w:val="right"/>
            </w:pPr>
            <w:r>
              <w:rPr>
                <w:color w:val="000000"/>
                <w:sz w:val="14"/>
              </w:rPr>
              <w:tab/>
              <w:t>(291)</w:t>
            </w:r>
          </w:p>
        </w:tc>
        <w:tc>
          <w:tcPr>
            <w:tcW w:w="60" w:type="dxa"/>
            <w:tcBorders>
              <w:top w:val="nil"/>
              <w:left w:val="nil"/>
              <w:bottom w:val="nil"/>
              <w:right w:val="nil"/>
            </w:tcBorders>
            <w:tcMar>
              <w:top w:w="0" w:type="dxa"/>
              <w:left w:w="0" w:type="dxa"/>
              <w:bottom w:w="0" w:type="dxa"/>
              <w:right w:w="15" w:type="dxa"/>
            </w:tcMar>
            <w:vAlign w:val="bottom"/>
          </w:tcPr>
          <w:p w14:paraId="63726B5A"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378D53F5" w14:textId="77777777" w:rsidR="0008228C" w:rsidRDefault="00193375">
            <w:pPr>
              <w:tabs>
                <w:tab w:val="left" w:pos="1442"/>
                <w:tab w:val="left" w:pos="1627"/>
              </w:tabs>
              <w:spacing w:before="53" w:after="30" w:line="300" w:lineRule="auto"/>
              <w:jc w:val="right"/>
            </w:pPr>
            <w:r>
              <w:rPr>
                <w:color w:val="000000"/>
                <w:sz w:val="14"/>
              </w:rPr>
              <w:tab/>
              <w:t>—</w:t>
            </w:r>
            <w:r>
              <w:rPr>
                <w:color w:val="000000"/>
                <w:sz w:val="14"/>
              </w:rPr>
              <w:tab/>
            </w:r>
          </w:p>
        </w:tc>
      </w:tr>
      <w:tr w:rsidR="0008228C" w14:paraId="59FD5960"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361CAA0D" w14:textId="77777777" w:rsidR="0008228C" w:rsidRDefault="00193375">
            <w:pPr>
              <w:spacing w:before="53" w:after="30" w:line="300" w:lineRule="auto"/>
            </w:pPr>
            <w:r>
              <w:rPr>
                <w:color w:val="000000"/>
                <w:sz w:val="14"/>
              </w:rPr>
              <w:t>Other charges and fees</w:t>
            </w:r>
          </w:p>
        </w:tc>
        <w:tc>
          <w:tcPr>
            <w:tcW w:w="1695" w:type="dxa"/>
            <w:tcBorders>
              <w:top w:val="nil"/>
              <w:left w:val="nil"/>
              <w:bottom w:val="single" w:sz="8" w:space="0" w:color="000000"/>
              <w:right w:val="nil"/>
            </w:tcBorders>
            <w:tcMar>
              <w:top w:w="0" w:type="dxa"/>
              <w:left w:w="0" w:type="dxa"/>
              <w:bottom w:w="0" w:type="dxa"/>
              <w:right w:w="15" w:type="dxa"/>
            </w:tcMar>
            <w:vAlign w:val="bottom"/>
          </w:tcPr>
          <w:p w14:paraId="04B4819A" w14:textId="77777777" w:rsidR="0008228C" w:rsidRDefault="00193375">
            <w:pPr>
              <w:tabs>
                <w:tab w:val="left" w:pos="1372"/>
                <w:tab w:val="left" w:pos="1627"/>
              </w:tabs>
              <w:spacing w:before="53" w:after="30" w:line="300" w:lineRule="auto"/>
              <w:jc w:val="right"/>
            </w:pPr>
            <w:r>
              <w:rPr>
                <w:color w:val="000000"/>
                <w:sz w:val="14"/>
              </w:rPr>
              <w:tab/>
              <w:t>166</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BDCB25C"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7CB33CD9" w14:textId="77777777" w:rsidR="0008228C" w:rsidRDefault="00193375">
            <w:pPr>
              <w:tabs>
                <w:tab w:val="left" w:pos="1442"/>
                <w:tab w:val="left" w:pos="1627"/>
              </w:tabs>
              <w:spacing w:before="53" w:after="30" w:line="300" w:lineRule="auto"/>
              <w:jc w:val="right"/>
            </w:pPr>
            <w:r>
              <w:rPr>
                <w:color w:val="000000"/>
                <w:sz w:val="14"/>
              </w:rPr>
              <w:tab/>
              <w:t>98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3325157"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3C671780" w14:textId="77777777" w:rsidR="0008228C" w:rsidRDefault="00193375">
            <w:pPr>
              <w:tabs>
                <w:tab w:val="left" w:pos="1442"/>
                <w:tab w:val="left" w:pos="1627"/>
              </w:tabs>
              <w:spacing w:before="53" w:after="30" w:line="300" w:lineRule="auto"/>
              <w:jc w:val="right"/>
            </w:pPr>
            <w:r>
              <w:rPr>
                <w:color w:val="000000"/>
                <w:sz w:val="14"/>
              </w:rPr>
              <w:tab/>
              <w:t>65</w:t>
            </w:r>
            <w:r>
              <w:rPr>
                <w:color w:val="000000"/>
                <w:sz w:val="14"/>
              </w:rPr>
              <w:tab/>
            </w:r>
          </w:p>
        </w:tc>
      </w:tr>
      <w:tr w:rsidR="0008228C" w14:paraId="229EC531"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675A9A7B" w14:textId="77777777" w:rsidR="0008228C" w:rsidRDefault="00193375">
            <w:pPr>
              <w:spacing w:before="33" w:after="30" w:line="300" w:lineRule="auto"/>
              <w:ind w:left="180"/>
            </w:pPr>
            <w:r>
              <w:rPr>
                <w:color w:val="000000"/>
                <w:sz w:val="14"/>
              </w:rPr>
              <w:t>Total noninterest income</w:t>
            </w:r>
          </w:p>
        </w:tc>
        <w:tc>
          <w:tcPr>
            <w:tcW w:w="1695" w:type="dxa"/>
            <w:tcBorders>
              <w:top w:val="single" w:sz="8" w:space="0" w:color="000000"/>
              <w:left w:val="nil"/>
              <w:bottom w:val="nil"/>
              <w:right w:val="nil"/>
            </w:tcBorders>
            <w:tcMar>
              <w:top w:w="0" w:type="dxa"/>
              <w:left w:w="0" w:type="dxa"/>
              <w:bottom w:w="0" w:type="dxa"/>
              <w:right w:w="15" w:type="dxa"/>
            </w:tcMar>
            <w:vAlign w:val="bottom"/>
          </w:tcPr>
          <w:p w14:paraId="19E53C06" w14:textId="77777777" w:rsidR="0008228C" w:rsidRDefault="00193375">
            <w:pPr>
              <w:tabs>
                <w:tab w:val="left" w:pos="1267"/>
                <w:tab w:val="left" w:pos="1627"/>
              </w:tabs>
              <w:spacing w:before="33" w:after="30" w:line="300" w:lineRule="auto"/>
              <w:jc w:val="right"/>
            </w:pPr>
            <w:r>
              <w:rPr>
                <w:color w:val="000000"/>
                <w:sz w:val="14"/>
              </w:rPr>
              <w:tab/>
              <w:t>1,603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A3C75C5"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4C7EB3E6" w14:textId="77777777" w:rsidR="0008228C" w:rsidRDefault="00193375">
            <w:pPr>
              <w:tabs>
                <w:tab w:val="left" w:pos="1372"/>
                <w:tab w:val="left" w:pos="1627"/>
              </w:tabs>
              <w:spacing w:before="33" w:after="30" w:line="300" w:lineRule="auto"/>
              <w:jc w:val="right"/>
            </w:pPr>
            <w:r>
              <w:rPr>
                <w:color w:val="000000"/>
                <w:sz w:val="14"/>
              </w:rPr>
              <w:tab/>
              <w:t>526</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33C85446"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2755D37A" w14:textId="77777777" w:rsidR="0008228C" w:rsidRDefault="00193375">
            <w:pPr>
              <w:tabs>
                <w:tab w:val="left" w:pos="1372"/>
                <w:tab w:val="left" w:pos="1627"/>
              </w:tabs>
              <w:spacing w:before="33" w:after="30" w:line="300" w:lineRule="auto"/>
              <w:jc w:val="right"/>
            </w:pPr>
            <w:r>
              <w:rPr>
                <w:color w:val="000000"/>
                <w:sz w:val="14"/>
              </w:rPr>
              <w:tab/>
              <w:t>548</w:t>
            </w:r>
            <w:r>
              <w:rPr>
                <w:color w:val="000000"/>
                <w:sz w:val="14"/>
              </w:rPr>
              <w:tab/>
            </w:r>
          </w:p>
        </w:tc>
      </w:tr>
      <w:tr w:rsidR="0008228C" w14:paraId="4C4E67B7" w14:textId="77777777">
        <w:trPr>
          <w:cantSplit/>
          <w:trHeight w:hRule="exact" w:val="300"/>
        </w:trPr>
        <w:tc>
          <w:tcPr>
            <w:tcW w:w="5595" w:type="dxa"/>
            <w:tcBorders>
              <w:top w:val="nil"/>
              <w:left w:val="nil"/>
              <w:bottom w:val="nil"/>
              <w:right w:val="nil"/>
            </w:tcBorders>
            <w:tcMar>
              <w:top w:w="0" w:type="dxa"/>
              <w:left w:w="0" w:type="dxa"/>
              <w:bottom w:w="0" w:type="dxa"/>
              <w:right w:w="0" w:type="dxa"/>
            </w:tcMar>
            <w:vAlign w:val="bottom"/>
          </w:tcPr>
          <w:p w14:paraId="3FFFA26C"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4D06D6DC"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A6D96A8"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7939719C"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BC871EC"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43C73523" w14:textId="77777777" w:rsidR="0008228C" w:rsidRDefault="0008228C"/>
        </w:tc>
      </w:tr>
      <w:tr w:rsidR="0008228C" w14:paraId="2361850B" w14:textId="77777777">
        <w:trPr>
          <w:cantSplit/>
          <w:trHeight w:hRule="exact" w:val="300"/>
        </w:trPr>
        <w:tc>
          <w:tcPr>
            <w:tcW w:w="5595" w:type="dxa"/>
            <w:tcBorders>
              <w:top w:val="nil"/>
              <w:left w:val="nil"/>
              <w:bottom w:val="nil"/>
              <w:right w:val="nil"/>
            </w:tcBorders>
            <w:tcMar>
              <w:top w:w="0" w:type="dxa"/>
              <w:left w:w="53" w:type="dxa"/>
              <w:bottom w:w="0" w:type="dxa"/>
              <w:right w:w="53" w:type="dxa"/>
            </w:tcMar>
            <w:vAlign w:val="bottom"/>
          </w:tcPr>
          <w:p w14:paraId="76EDB5D0" w14:textId="77777777" w:rsidR="0008228C" w:rsidRDefault="00193375">
            <w:pPr>
              <w:spacing w:before="53" w:after="30" w:line="300" w:lineRule="auto"/>
            </w:pPr>
            <w:r>
              <w:rPr>
                <w:b/>
                <w:color w:val="000000"/>
                <w:sz w:val="14"/>
              </w:rPr>
              <w:t>NONINTEREST EXPENSE</w:t>
            </w:r>
          </w:p>
        </w:tc>
        <w:tc>
          <w:tcPr>
            <w:tcW w:w="1695" w:type="dxa"/>
            <w:tcBorders>
              <w:top w:val="nil"/>
              <w:left w:val="nil"/>
              <w:bottom w:val="nil"/>
              <w:right w:val="nil"/>
            </w:tcBorders>
            <w:tcMar>
              <w:top w:w="0" w:type="dxa"/>
              <w:left w:w="0" w:type="dxa"/>
              <w:bottom w:w="0" w:type="dxa"/>
              <w:right w:w="0" w:type="dxa"/>
            </w:tcMar>
            <w:vAlign w:val="bottom"/>
          </w:tcPr>
          <w:p w14:paraId="1864E0B4"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10D21D8"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1FD84E1D"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8395EB7"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5BF36473" w14:textId="77777777" w:rsidR="0008228C" w:rsidRDefault="0008228C"/>
        </w:tc>
      </w:tr>
      <w:tr w:rsidR="0008228C" w14:paraId="448FB621" w14:textId="77777777">
        <w:trPr>
          <w:cantSplit/>
          <w:trHeight w:hRule="exact" w:val="225"/>
        </w:trPr>
        <w:tc>
          <w:tcPr>
            <w:tcW w:w="5595" w:type="dxa"/>
            <w:tcBorders>
              <w:top w:val="nil"/>
              <w:left w:val="nil"/>
              <w:bottom w:val="nil"/>
              <w:right w:val="nil"/>
            </w:tcBorders>
            <w:tcMar>
              <w:top w:w="0" w:type="dxa"/>
              <w:left w:w="53" w:type="dxa"/>
              <w:bottom w:w="0" w:type="dxa"/>
              <w:right w:w="53" w:type="dxa"/>
            </w:tcMar>
            <w:vAlign w:val="bottom"/>
          </w:tcPr>
          <w:p w14:paraId="6F39B4BC" w14:textId="77777777" w:rsidR="0008228C" w:rsidRDefault="00193375">
            <w:pPr>
              <w:spacing w:before="53" w:after="30" w:line="300" w:lineRule="auto"/>
            </w:pPr>
            <w:r>
              <w:rPr>
                <w:color w:val="000000"/>
                <w:sz w:val="14"/>
              </w:rPr>
              <w:t>Salaries and employee benefits</w:t>
            </w:r>
          </w:p>
        </w:tc>
        <w:tc>
          <w:tcPr>
            <w:tcW w:w="1695" w:type="dxa"/>
            <w:tcBorders>
              <w:top w:val="nil"/>
              <w:left w:val="nil"/>
              <w:bottom w:val="nil"/>
              <w:right w:val="nil"/>
            </w:tcBorders>
            <w:tcMar>
              <w:top w:w="0" w:type="dxa"/>
              <w:left w:w="0" w:type="dxa"/>
              <w:bottom w:w="0" w:type="dxa"/>
              <w:right w:w="15" w:type="dxa"/>
            </w:tcMar>
            <w:vAlign w:val="bottom"/>
          </w:tcPr>
          <w:p w14:paraId="13D783EA" w14:textId="77777777" w:rsidR="0008228C" w:rsidRDefault="00193375">
            <w:pPr>
              <w:tabs>
                <w:tab w:val="left" w:pos="1197"/>
                <w:tab w:val="left" w:pos="1627"/>
              </w:tabs>
              <w:spacing w:before="53" w:after="30" w:line="300" w:lineRule="auto"/>
              <w:jc w:val="right"/>
            </w:pPr>
            <w:r>
              <w:rPr>
                <w:color w:val="000000"/>
                <w:sz w:val="14"/>
              </w:rPr>
              <w:tab/>
              <w:t>10,196</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4DEC65F9"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0110E39E" w14:textId="77777777" w:rsidR="0008228C" w:rsidRDefault="00193375">
            <w:pPr>
              <w:tabs>
                <w:tab w:val="left" w:pos="1267"/>
                <w:tab w:val="left" w:pos="1627"/>
              </w:tabs>
              <w:spacing w:before="53" w:after="30" w:line="300" w:lineRule="auto"/>
              <w:jc w:val="right"/>
            </w:pPr>
            <w:r>
              <w:rPr>
                <w:color w:val="000000"/>
                <w:sz w:val="14"/>
              </w:rPr>
              <w:tab/>
              <w:t>9,158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FF8D5EC"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0833C16A" w14:textId="77777777" w:rsidR="0008228C" w:rsidRDefault="00193375">
            <w:pPr>
              <w:tabs>
                <w:tab w:val="left" w:pos="1267"/>
                <w:tab w:val="left" w:pos="1627"/>
              </w:tabs>
              <w:spacing w:before="53" w:after="30" w:line="300" w:lineRule="auto"/>
              <w:jc w:val="right"/>
            </w:pPr>
            <w:r>
              <w:rPr>
                <w:color w:val="000000"/>
                <w:sz w:val="14"/>
              </w:rPr>
              <w:tab/>
              <w:t>7,376</w:t>
            </w:r>
            <w:r>
              <w:rPr>
                <w:color w:val="000000"/>
                <w:sz w:val="14"/>
              </w:rPr>
              <w:tab/>
            </w:r>
          </w:p>
        </w:tc>
      </w:tr>
      <w:tr w:rsidR="0008228C" w14:paraId="7C87FED8" w14:textId="77777777">
        <w:trPr>
          <w:cantSplit/>
          <w:trHeight w:hRule="exact" w:val="225"/>
        </w:trPr>
        <w:tc>
          <w:tcPr>
            <w:tcW w:w="5595" w:type="dxa"/>
            <w:tcBorders>
              <w:top w:val="nil"/>
              <w:left w:val="nil"/>
              <w:bottom w:val="nil"/>
              <w:right w:val="nil"/>
            </w:tcBorders>
            <w:tcMar>
              <w:top w:w="0" w:type="dxa"/>
              <w:left w:w="53" w:type="dxa"/>
              <w:bottom w:w="0" w:type="dxa"/>
              <w:right w:w="53" w:type="dxa"/>
            </w:tcMar>
            <w:vAlign w:val="bottom"/>
          </w:tcPr>
          <w:p w14:paraId="584AF9C9" w14:textId="77777777" w:rsidR="0008228C" w:rsidRDefault="00193375">
            <w:pPr>
              <w:spacing w:before="53" w:after="30" w:line="300" w:lineRule="auto"/>
            </w:pPr>
            <w:r>
              <w:rPr>
                <w:color w:val="000000"/>
                <w:sz w:val="14"/>
              </w:rPr>
              <w:t>Occupancy and equipment expenses</w:t>
            </w:r>
          </w:p>
        </w:tc>
        <w:tc>
          <w:tcPr>
            <w:tcW w:w="1695" w:type="dxa"/>
            <w:tcBorders>
              <w:top w:val="nil"/>
              <w:left w:val="nil"/>
              <w:bottom w:val="nil"/>
              <w:right w:val="nil"/>
            </w:tcBorders>
            <w:tcMar>
              <w:top w:w="0" w:type="dxa"/>
              <w:left w:w="0" w:type="dxa"/>
              <w:bottom w:w="0" w:type="dxa"/>
              <w:right w:w="15" w:type="dxa"/>
            </w:tcMar>
            <w:vAlign w:val="bottom"/>
          </w:tcPr>
          <w:p w14:paraId="4F5D8024" w14:textId="77777777" w:rsidR="0008228C" w:rsidRDefault="00193375">
            <w:pPr>
              <w:tabs>
                <w:tab w:val="left" w:pos="1267"/>
                <w:tab w:val="left" w:pos="1627"/>
              </w:tabs>
              <w:spacing w:before="53" w:after="30" w:line="300" w:lineRule="auto"/>
              <w:jc w:val="right"/>
            </w:pPr>
            <w:r>
              <w:rPr>
                <w:color w:val="000000"/>
                <w:sz w:val="14"/>
              </w:rPr>
              <w:tab/>
              <w:t>1,410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109C30A"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7E8C27ED" w14:textId="77777777" w:rsidR="0008228C" w:rsidRDefault="00193375">
            <w:pPr>
              <w:tabs>
                <w:tab w:val="left" w:pos="1267"/>
                <w:tab w:val="left" w:pos="1627"/>
              </w:tabs>
              <w:spacing w:before="53" w:after="30" w:line="300" w:lineRule="auto"/>
              <w:jc w:val="right"/>
            </w:pPr>
            <w:r>
              <w:rPr>
                <w:color w:val="000000"/>
                <w:sz w:val="14"/>
              </w:rPr>
              <w:tab/>
              <w:t>1,350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1E4B25F"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D9BC958" w14:textId="77777777" w:rsidR="0008228C" w:rsidRDefault="00193375">
            <w:pPr>
              <w:tabs>
                <w:tab w:val="left" w:pos="1267"/>
                <w:tab w:val="left" w:pos="1627"/>
              </w:tabs>
              <w:spacing w:before="53" w:after="30" w:line="300" w:lineRule="auto"/>
              <w:jc w:val="right"/>
            </w:pPr>
            <w:r>
              <w:rPr>
                <w:color w:val="000000"/>
                <w:sz w:val="14"/>
              </w:rPr>
              <w:tab/>
              <w:t>1,523</w:t>
            </w:r>
            <w:r>
              <w:rPr>
                <w:color w:val="000000"/>
                <w:sz w:val="14"/>
              </w:rPr>
              <w:tab/>
            </w:r>
          </w:p>
        </w:tc>
      </w:tr>
      <w:tr w:rsidR="0008228C" w14:paraId="7086A7BE" w14:textId="77777777">
        <w:trPr>
          <w:cantSplit/>
          <w:trHeight w:hRule="exact" w:val="225"/>
        </w:trPr>
        <w:tc>
          <w:tcPr>
            <w:tcW w:w="5595" w:type="dxa"/>
            <w:tcBorders>
              <w:top w:val="nil"/>
              <w:left w:val="nil"/>
              <w:bottom w:val="nil"/>
              <w:right w:val="nil"/>
            </w:tcBorders>
            <w:tcMar>
              <w:top w:w="0" w:type="dxa"/>
              <w:left w:w="53" w:type="dxa"/>
              <w:bottom w:w="0" w:type="dxa"/>
              <w:right w:w="53" w:type="dxa"/>
            </w:tcMar>
            <w:vAlign w:val="bottom"/>
          </w:tcPr>
          <w:p w14:paraId="0848A86C" w14:textId="77777777" w:rsidR="0008228C" w:rsidRDefault="00193375">
            <w:pPr>
              <w:spacing w:before="53" w:after="30" w:line="300" w:lineRule="auto"/>
            </w:pPr>
            <w:r>
              <w:rPr>
                <w:color w:val="000000"/>
                <w:sz w:val="14"/>
              </w:rPr>
              <w:t>Data processing</w:t>
            </w:r>
          </w:p>
        </w:tc>
        <w:tc>
          <w:tcPr>
            <w:tcW w:w="1695" w:type="dxa"/>
            <w:tcBorders>
              <w:top w:val="nil"/>
              <w:left w:val="nil"/>
              <w:bottom w:val="nil"/>
              <w:right w:val="nil"/>
            </w:tcBorders>
            <w:tcMar>
              <w:top w:w="0" w:type="dxa"/>
              <w:left w:w="0" w:type="dxa"/>
              <w:bottom w:w="0" w:type="dxa"/>
              <w:right w:w="15" w:type="dxa"/>
            </w:tcMar>
            <w:vAlign w:val="bottom"/>
          </w:tcPr>
          <w:p w14:paraId="6671E5C3" w14:textId="77777777" w:rsidR="0008228C" w:rsidRDefault="00193375">
            <w:pPr>
              <w:tabs>
                <w:tab w:val="left" w:pos="1267"/>
                <w:tab w:val="left" w:pos="1627"/>
              </w:tabs>
              <w:spacing w:before="53" w:after="30" w:line="300" w:lineRule="auto"/>
              <w:jc w:val="right"/>
            </w:pPr>
            <w:r>
              <w:rPr>
                <w:color w:val="000000"/>
                <w:sz w:val="14"/>
              </w:rPr>
              <w:tab/>
              <w:t>1,178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3A886253"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D30E6FE" w14:textId="77777777" w:rsidR="0008228C" w:rsidRDefault="00193375">
            <w:pPr>
              <w:tabs>
                <w:tab w:val="left" w:pos="1267"/>
                <w:tab w:val="left" w:pos="1627"/>
              </w:tabs>
              <w:spacing w:before="53" w:after="30" w:line="300" w:lineRule="auto"/>
              <w:jc w:val="right"/>
            </w:pPr>
            <w:r>
              <w:rPr>
                <w:color w:val="000000"/>
                <w:sz w:val="14"/>
              </w:rPr>
              <w:tab/>
              <w:t>1,027</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81A53C5"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250CA0EF" w14:textId="77777777" w:rsidR="0008228C" w:rsidRDefault="00193375">
            <w:pPr>
              <w:tabs>
                <w:tab w:val="left" w:pos="1372"/>
                <w:tab w:val="left" w:pos="1627"/>
              </w:tabs>
              <w:spacing w:before="53" w:after="30" w:line="300" w:lineRule="auto"/>
              <w:jc w:val="right"/>
            </w:pPr>
            <w:r>
              <w:rPr>
                <w:color w:val="000000"/>
                <w:sz w:val="14"/>
              </w:rPr>
              <w:tab/>
              <w:t>759</w:t>
            </w:r>
            <w:r>
              <w:rPr>
                <w:color w:val="000000"/>
                <w:sz w:val="14"/>
              </w:rPr>
              <w:tab/>
            </w:r>
          </w:p>
        </w:tc>
      </w:tr>
      <w:tr w:rsidR="0008228C" w14:paraId="23EDA4C2" w14:textId="77777777">
        <w:trPr>
          <w:cantSplit/>
          <w:trHeight w:hRule="exact" w:val="225"/>
        </w:trPr>
        <w:tc>
          <w:tcPr>
            <w:tcW w:w="5595" w:type="dxa"/>
            <w:tcBorders>
              <w:top w:val="nil"/>
              <w:left w:val="nil"/>
              <w:bottom w:val="nil"/>
              <w:right w:val="nil"/>
            </w:tcBorders>
            <w:tcMar>
              <w:top w:w="0" w:type="dxa"/>
              <w:left w:w="53" w:type="dxa"/>
              <w:bottom w:w="0" w:type="dxa"/>
              <w:right w:w="53" w:type="dxa"/>
            </w:tcMar>
            <w:vAlign w:val="bottom"/>
          </w:tcPr>
          <w:p w14:paraId="78DE29B1" w14:textId="77777777" w:rsidR="0008228C" w:rsidRDefault="00193375">
            <w:pPr>
              <w:spacing w:before="53" w:after="30" w:line="300" w:lineRule="auto"/>
            </w:pPr>
            <w:r>
              <w:rPr>
                <w:color w:val="000000"/>
                <w:sz w:val="14"/>
              </w:rPr>
              <w:t>Legal, audit and professional</w:t>
            </w:r>
          </w:p>
        </w:tc>
        <w:tc>
          <w:tcPr>
            <w:tcW w:w="1695" w:type="dxa"/>
            <w:tcBorders>
              <w:top w:val="nil"/>
              <w:left w:val="nil"/>
              <w:bottom w:val="nil"/>
              <w:right w:val="nil"/>
            </w:tcBorders>
            <w:tcMar>
              <w:top w:w="0" w:type="dxa"/>
              <w:left w:w="0" w:type="dxa"/>
              <w:bottom w:w="0" w:type="dxa"/>
              <w:right w:w="15" w:type="dxa"/>
            </w:tcMar>
            <w:vAlign w:val="bottom"/>
          </w:tcPr>
          <w:p w14:paraId="7DF26D4C" w14:textId="77777777" w:rsidR="0008228C" w:rsidRDefault="00193375">
            <w:pPr>
              <w:tabs>
                <w:tab w:val="left" w:pos="1372"/>
                <w:tab w:val="left" w:pos="1627"/>
              </w:tabs>
              <w:spacing w:before="53" w:after="30" w:line="300" w:lineRule="auto"/>
              <w:jc w:val="right"/>
            </w:pPr>
            <w:r>
              <w:rPr>
                <w:color w:val="000000"/>
                <w:sz w:val="14"/>
              </w:rPr>
              <w:tab/>
              <w:t>617</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8580281"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4364FF7B" w14:textId="77777777" w:rsidR="0008228C" w:rsidRDefault="00193375">
            <w:pPr>
              <w:tabs>
                <w:tab w:val="left" w:pos="1372"/>
                <w:tab w:val="left" w:pos="1627"/>
              </w:tabs>
              <w:spacing w:before="53" w:after="30" w:line="300" w:lineRule="auto"/>
              <w:jc w:val="right"/>
            </w:pPr>
            <w:r>
              <w:rPr>
                <w:color w:val="000000"/>
                <w:sz w:val="14"/>
              </w:rPr>
              <w:tab/>
              <w:t>463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4A9EBC0"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55C5E4F6" w14:textId="77777777" w:rsidR="0008228C" w:rsidRDefault="00193375">
            <w:pPr>
              <w:tabs>
                <w:tab w:val="left" w:pos="1372"/>
                <w:tab w:val="left" w:pos="1627"/>
              </w:tabs>
              <w:spacing w:before="53" w:after="30" w:line="300" w:lineRule="auto"/>
              <w:jc w:val="right"/>
            </w:pPr>
            <w:r>
              <w:rPr>
                <w:color w:val="000000"/>
                <w:sz w:val="14"/>
              </w:rPr>
              <w:tab/>
              <w:t>371</w:t>
            </w:r>
            <w:r>
              <w:rPr>
                <w:color w:val="000000"/>
                <w:sz w:val="14"/>
              </w:rPr>
              <w:tab/>
            </w:r>
          </w:p>
        </w:tc>
      </w:tr>
      <w:tr w:rsidR="0008228C" w14:paraId="3B04F945" w14:textId="77777777">
        <w:trPr>
          <w:cantSplit/>
          <w:trHeight w:hRule="exact" w:val="225"/>
        </w:trPr>
        <w:tc>
          <w:tcPr>
            <w:tcW w:w="5595" w:type="dxa"/>
            <w:tcBorders>
              <w:top w:val="nil"/>
              <w:left w:val="nil"/>
              <w:bottom w:val="nil"/>
              <w:right w:val="nil"/>
            </w:tcBorders>
            <w:tcMar>
              <w:top w:w="0" w:type="dxa"/>
              <w:left w:w="53" w:type="dxa"/>
              <w:bottom w:w="0" w:type="dxa"/>
              <w:right w:w="53" w:type="dxa"/>
            </w:tcMar>
            <w:vAlign w:val="bottom"/>
          </w:tcPr>
          <w:p w14:paraId="6ED675D3" w14:textId="77777777" w:rsidR="0008228C" w:rsidRDefault="00193375">
            <w:pPr>
              <w:spacing w:before="53" w:after="30" w:line="300" w:lineRule="auto"/>
            </w:pPr>
            <w:r>
              <w:rPr>
                <w:color w:val="000000"/>
                <w:sz w:val="14"/>
              </w:rPr>
              <w:t>Regulatory assessments</w:t>
            </w:r>
          </w:p>
        </w:tc>
        <w:tc>
          <w:tcPr>
            <w:tcW w:w="1695" w:type="dxa"/>
            <w:tcBorders>
              <w:top w:val="nil"/>
              <w:left w:val="nil"/>
              <w:bottom w:val="nil"/>
              <w:right w:val="nil"/>
            </w:tcBorders>
            <w:tcMar>
              <w:top w:w="0" w:type="dxa"/>
              <w:left w:w="0" w:type="dxa"/>
              <w:bottom w:w="0" w:type="dxa"/>
              <w:right w:w="15" w:type="dxa"/>
            </w:tcMar>
            <w:vAlign w:val="bottom"/>
          </w:tcPr>
          <w:p w14:paraId="34730734" w14:textId="77777777" w:rsidR="0008228C" w:rsidRDefault="00193375">
            <w:pPr>
              <w:tabs>
                <w:tab w:val="left" w:pos="1372"/>
                <w:tab w:val="left" w:pos="1627"/>
              </w:tabs>
              <w:spacing w:before="53" w:after="30" w:line="300" w:lineRule="auto"/>
              <w:jc w:val="right"/>
            </w:pPr>
            <w:r>
              <w:rPr>
                <w:color w:val="000000"/>
                <w:sz w:val="14"/>
              </w:rPr>
              <w:tab/>
              <w:t>339</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3BE830EE"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55A9E889" w14:textId="77777777" w:rsidR="0008228C" w:rsidRDefault="00193375">
            <w:pPr>
              <w:tabs>
                <w:tab w:val="left" w:pos="1372"/>
                <w:tab w:val="left" w:pos="1627"/>
              </w:tabs>
              <w:spacing w:before="53" w:after="30" w:line="300" w:lineRule="auto"/>
              <w:jc w:val="right"/>
            </w:pPr>
            <w:r>
              <w:rPr>
                <w:color w:val="000000"/>
                <w:sz w:val="14"/>
              </w:rPr>
              <w:tab/>
              <w:t>433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24AB3F2"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36E6457F" w14:textId="77777777" w:rsidR="0008228C" w:rsidRDefault="00193375">
            <w:pPr>
              <w:tabs>
                <w:tab w:val="left" w:pos="1372"/>
                <w:tab w:val="left" w:pos="1627"/>
              </w:tabs>
              <w:spacing w:before="53" w:after="30" w:line="300" w:lineRule="auto"/>
              <w:jc w:val="right"/>
            </w:pPr>
            <w:r>
              <w:rPr>
                <w:color w:val="000000"/>
                <w:sz w:val="14"/>
              </w:rPr>
              <w:tab/>
              <w:t>124</w:t>
            </w:r>
            <w:r>
              <w:rPr>
                <w:color w:val="000000"/>
                <w:sz w:val="14"/>
              </w:rPr>
              <w:tab/>
            </w:r>
          </w:p>
        </w:tc>
      </w:tr>
      <w:tr w:rsidR="0008228C" w14:paraId="4EBE6958"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48DBA7A1" w14:textId="77777777" w:rsidR="0008228C" w:rsidRDefault="00193375">
            <w:pPr>
              <w:spacing w:before="53" w:after="30" w:line="300" w:lineRule="auto"/>
            </w:pPr>
            <w:r>
              <w:rPr>
                <w:color w:val="000000"/>
                <w:sz w:val="14"/>
              </w:rPr>
              <w:t>Director and shareholder expenses</w:t>
            </w:r>
          </w:p>
        </w:tc>
        <w:tc>
          <w:tcPr>
            <w:tcW w:w="1695" w:type="dxa"/>
            <w:tcBorders>
              <w:top w:val="nil"/>
              <w:left w:val="nil"/>
              <w:bottom w:val="nil"/>
              <w:right w:val="nil"/>
            </w:tcBorders>
            <w:tcMar>
              <w:top w:w="0" w:type="dxa"/>
              <w:left w:w="0" w:type="dxa"/>
              <w:bottom w:w="0" w:type="dxa"/>
              <w:right w:w="15" w:type="dxa"/>
            </w:tcMar>
            <w:vAlign w:val="bottom"/>
          </w:tcPr>
          <w:p w14:paraId="2DBAA3FB" w14:textId="77777777" w:rsidR="0008228C" w:rsidRDefault="00193375">
            <w:pPr>
              <w:tabs>
                <w:tab w:val="left" w:pos="1372"/>
                <w:tab w:val="left" w:pos="1627"/>
              </w:tabs>
              <w:spacing w:before="53" w:after="30" w:line="300" w:lineRule="auto"/>
              <w:jc w:val="right"/>
            </w:pPr>
            <w:r>
              <w:rPr>
                <w:color w:val="000000"/>
                <w:sz w:val="14"/>
              </w:rPr>
              <w:tab/>
              <w:t>195</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C319B83"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4627EDCC" w14:textId="77777777" w:rsidR="0008228C" w:rsidRDefault="00193375">
            <w:pPr>
              <w:tabs>
                <w:tab w:val="left" w:pos="1372"/>
                <w:tab w:val="left" w:pos="1627"/>
              </w:tabs>
              <w:spacing w:before="53" w:after="30" w:line="300" w:lineRule="auto"/>
              <w:jc w:val="right"/>
            </w:pPr>
            <w:r>
              <w:rPr>
                <w:color w:val="000000"/>
                <w:sz w:val="14"/>
              </w:rPr>
              <w:tab/>
              <w:t>183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4DA72AB"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4B6DCF81" w14:textId="77777777" w:rsidR="0008228C" w:rsidRDefault="00193375">
            <w:pPr>
              <w:tabs>
                <w:tab w:val="left" w:pos="1372"/>
                <w:tab w:val="left" w:pos="1627"/>
              </w:tabs>
              <w:spacing w:before="53" w:after="30" w:line="300" w:lineRule="auto"/>
              <w:jc w:val="right"/>
            </w:pPr>
            <w:r>
              <w:rPr>
                <w:color w:val="000000"/>
                <w:sz w:val="14"/>
              </w:rPr>
              <w:tab/>
              <w:t>139</w:t>
            </w:r>
            <w:r>
              <w:rPr>
                <w:color w:val="000000"/>
                <w:sz w:val="14"/>
              </w:rPr>
              <w:tab/>
            </w:r>
          </w:p>
        </w:tc>
      </w:tr>
      <w:tr w:rsidR="0008228C" w14:paraId="2C947AB3"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79DC3ADE" w14:textId="77777777" w:rsidR="0008228C" w:rsidRDefault="00193375">
            <w:pPr>
              <w:spacing w:before="53" w:after="30" w:line="300" w:lineRule="auto"/>
            </w:pPr>
            <w:r>
              <w:rPr>
                <w:color w:val="000000"/>
                <w:sz w:val="14"/>
              </w:rPr>
              <w:t>Merger and related expenses</w:t>
            </w:r>
          </w:p>
        </w:tc>
        <w:tc>
          <w:tcPr>
            <w:tcW w:w="1695" w:type="dxa"/>
            <w:tcBorders>
              <w:top w:val="nil"/>
              <w:left w:val="nil"/>
              <w:bottom w:val="nil"/>
              <w:right w:val="nil"/>
            </w:tcBorders>
            <w:tcMar>
              <w:top w:w="0" w:type="dxa"/>
              <w:left w:w="0" w:type="dxa"/>
              <w:bottom w:w="0" w:type="dxa"/>
              <w:right w:w="15" w:type="dxa"/>
            </w:tcMar>
            <w:vAlign w:val="bottom"/>
          </w:tcPr>
          <w:p w14:paraId="10CB580E" w14:textId="77777777" w:rsidR="0008228C" w:rsidRDefault="00193375">
            <w:pPr>
              <w:tabs>
                <w:tab w:val="left" w:pos="1372"/>
                <w:tab w:val="left" w:pos="1627"/>
              </w:tabs>
              <w:spacing w:before="53" w:after="30" w:line="300" w:lineRule="auto"/>
              <w:jc w:val="right"/>
            </w:pPr>
            <w:r>
              <w:rPr>
                <w:color w:val="000000"/>
                <w:sz w:val="14"/>
              </w:rPr>
              <w:tab/>
              <w:t>524</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3FDB8DF"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7AA2E29" w14:textId="77777777" w:rsidR="0008228C" w:rsidRDefault="00193375">
            <w:pPr>
              <w:tabs>
                <w:tab w:val="left" w:pos="1372"/>
                <w:tab w:val="left" w:pos="1627"/>
              </w:tabs>
              <w:spacing w:before="53" w:after="30" w:line="300" w:lineRule="auto"/>
              <w:jc w:val="right"/>
            </w:pPr>
            <w:r>
              <w:rPr>
                <w:color w:val="000000"/>
                <w:sz w:val="14"/>
              </w:rPr>
              <w:tab/>
              <w:t>969</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6B9AAFD"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4BE1B2C8" w14:textId="77777777" w:rsidR="0008228C" w:rsidRDefault="00193375">
            <w:pPr>
              <w:tabs>
                <w:tab w:val="left" w:pos="1372"/>
                <w:tab w:val="left" w:pos="1627"/>
              </w:tabs>
              <w:spacing w:before="53" w:after="30" w:line="300" w:lineRule="auto"/>
              <w:jc w:val="right"/>
            </w:pPr>
            <w:r>
              <w:rPr>
                <w:color w:val="000000"/>
                <w:sz w:val="14"/>
              </w:rPr>
              <w:tab/>
              <w:t>157</w:t>
            </w:r>
            <w:r>
              <w:rPr>
                <w:color w:val="000000"/>
                <w:sz w:val="14"/>
              </w:rPr>
              <w:tab/>
            </w:r>
          </w:p>
        </w:tc>
      </w:tr>
      <w:tr w:rsidR="0008228C" w14:paraId="4FD7C88F"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5733E8E9" w14:textId="77777777" w:rsidR="0008228C" w:rsidRDefault="00193375">
            <w:pPr>
              <w:spacing w:before="53" w:after="30" w:line="300" w:lineRule="auto"/>
            </w:pPr>
            <w:r>
              <w:rPr>
                <w:color w:val="000000"/>
                <w:sz w:val="14"/>
              </w:rPr>
              <w:t xml:space="preserve">Core deposit </w:t>
            </w:r>
            <w:proofErr w:type="spellStart"/>
            <w:r>
              <w:rPr>
                <w:color w:val="000000"/>
                <w:sz w:val="14"/>
              </w:rPr>
              <w:t>Iintangible</w:t>
            </w:r>
            <w:proofErr w:type="spellEnd"/>
            <w:r>
              <w:rPr>
                <w:color w:val="000000"/>
                <w:sz w:val="14"/>
              </w:rPr>
              <w:t xml:space="preserve"> amortization</w:t>
            </w:r>
          </w:p>
        </w:tc>
        <w:tc>
          <w:tcPr>
            <w:tcW w:w="1695" w:type="dxa"/>
            <w:tcBorders>
              <w:top w:val="nil"/>
              <w:left w:val="nil"/>
              <w:bottom w:val="nil"/>
              <w:right w:val="nil"/>
            </w:tcBorders>
            <w:tcMar>
              <w:top w:w="0" w:type="dxa"/>
              <w:left w:w="0" w:type="dxa"/>
              <w:bottom w:w="0" w:type="dxa"/>
              <w:right w:w="15" w:type="dxa"/>
            </w:tcMar>
            <w:vAlign w:val="bottom"/>
          </w:tcPr>
          <w:p w14:paraId="7D7B2236" w14:textId="77777777" w:rsidR="0008228C" w:rsidRDefault="00193375">
            <w:pPr>
              <w:tabs>
                <w:tab w:val="left" w:pos="1442"/>
                <w:tab w:val="left" w:pos="1627"/>
              </w:tabs>
              <w:spacing w:before="53" w:after="30" w:line="300" w:lineRule="auto"/>
              <w:jc w:val="right"/>
            </w:pPr>
            <w:r>
              <w:rPr>
                <w:color w:val="000000"/>
                <w:sz w:val="14"/>
              </w:rPr>
              <w:tab/>
              <w:t>99</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7DC5D36"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5BF0DA86" w14:textId="77777777" w:rsidR="0008228C" w:rsidRDefault="00193375">
            <w:pPr>
              <w:tabs>
                <w:tab w:val="left" w:pos="1372"/>
                <w:tab w:val="left" w:pos="1627"/>
              </w:tabs>
              <w:spacing w:before="53" w:after="30" w:line="300" w:lineRule="auto"/>
              <w:jc w:val="right"/>
            </w:pPr>
            <w:r>
              <w:rPr>
                <w:color w:val="000000"/>
                <w:sz w:val="14"/>
              </w:rPr>
              <w:tab/>
              <w:t>100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41FC34E6"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03863CD1" w14:textId="77777777" w:rsidR="0008228C" w:rsidRDefault="00193375">
            <w:pPr>
              <w:tabs>
                <w:tab w:val="left" w:pos="1442"/>
                <w:tab w:val="left" w:pos="1627"/>
              </w:tabs>
              <w:spacing w:before="53" w:after="30" w:line="300" w:lineRule="auto"/>
              <w:jc w:val="right"/>
            </w:pPr>
            <w:r>
              <w:rPr>
                <w:color w:val="000000"/>
                <w:sz w:val="14"/>
              </w:rPr>
              <w:tab/>
              <w:t>89</w:t>
            </w:r>
            <w:r>
              <w:rPr>
                <w:color w:val="000000"/>
                <w:sz w:val="14"/>
              </w:rPr>
              <w:tab/>
            </w:r>
          </w:p>
        </w:tc>
      </w:tr>
      <w:tr w:rsidR="0008228C" w14:paraId="19896EEE"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2435FD5A" w14:textId="77777777" w:rsidR="0008228C" w:rsidRDefault="00193375">
            <w:pPr>
              <w:spacing w:before="53" w:after="30" w:line="300" w:lineRule="auto"/>
            </w:pPr>
            <w:r>
              <w:rPr>
                <w:color w:val="000000"/>
                <w:sz w:val="14"/>
              </w:rPr>
              <w:t>Other expense</w:t>
            </w:r>
          </w:p>
        </w:tc>
        <w:tc>
          <w:tcPr>
            <w:tcW w:w="1695" w:type="dxa"/>
            <w:tcBorders>
              <w:top w:val="nil"/>
              <w:left w:val="nil"/>
              <w:bottom w:val="single" w:sz="8" w:space="0" w:color="000000"/>
              <w:right w:val="nil"/>
            </w:tcBorders>
            <w:tcMar>
              <w:top w:w="0" w:type="dxa"/>
              <w:left w:w="0" w:type="dxa"/>
              <w:bottom w:w="0" w:type="dxa"/>
              <w:right w:w="15" w:type="dxa"/>
            </w:tcMar>
            <w:vAlign w:val="bottom"/>
          </w:tcPr>
          <w:p w14:paraId="464532A6" w14:textId="77777777" w:rsidR="0008228C" w:rsidRDefault="00193375">
            <w:pPr>
              <w:tabs>
                <w:tab w:val="left" w:pos="1372"/>
                <w:tab w:val="left" w:pos="1627"/>
              </w:tabs>
              <w:spacing w:before="53" w:after="30" w:line="300" w:lineRule="auto"/>
              <w:jc w:val="right"/>
            </w:pPr>
            <w:r>
              <w:rPr>
                <w:color w:val="000000"/>
                <w:sz w:val="14"/>
              </w:rPr>
              <w:tab/>
              <w:t>994</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7B4D2AF"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1F036F40" w14:textId="77777777" w:rsidR="0008228C" w:rsidRDefault="00193375">
            <w:pPr>
              <w:tabs>
                <w:tab w:val="left" w:pos="1267"/>
                <w:tab w:val="left" w:pos="1627"/>
              </w:tabs>
              <w:spacing w:before="53" w:after="30" w:line="300" w:lineRule="auto"/>
              <w:jc w:val="right"/>
            </w:pPr>
            <w:r>
              <w:rPr>
                <w:color w:val="000000"/>
                <w:sz w:val="14"/>
              </w:rPr>
              <w:tab/>
              <w:t>1,183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1CF9E66"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74FC9913" w14:textId="77777777" w:rsidR="0008228C" w:rsidRDefault="00193375">
            <w:pPr>
              <w:tabs>
                <w:tab w:val="left" w:pos="1372"/>
                <w:tab w:val="left" w:pos="1627"/>
              </w:tabs>
              <w:spacing w:before="53" w:after="30" w:line="300" w:lineRule="auto"/>
              <w:jc w:val="right"/>
            </w:pPr>
            <w:r>
              <w:rPr>
                <w:color w:val="000000"/>
                <w:sz w:val="14"/>
              </w:rPr>
              <w:tab/>
              <w:t>640</w:t>
            </w:r>
            <w:r>
              <w:rPr>
                <w:color w:val="000000"/>
                <w:sz w:val="14"/>
              </w:rPr>
              <w:tab/>
            </w:r>
          </w:p>
        </w:tc>
      </w:tr>
      <w:tr w:rsidR="0008228C" w14:paraId="6B8958F4"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48717235" w14:textId="77777777" w:rsidR="0008228C" w:rsidRDefault="00193375">
            <w:pPr>
              <w:spacing w:before="33" w:after="30" w:line="300" w:lineRule="auto"/>
              <w:ind w:left="180"/>
            </w:pPr>
            <w:r>
              <w:rPr>
                <w:color w:val="000000"/>
                <w:sz w:val="14"/>
              </w:rPr>
              <w:t>Total noninterest expense</w:t>
            </w:r>
          </w:p>
        </w:tc>
        <w:tc>
          <w:tcPr>
            <w:tcW w:w="1695" w:type="dxa"/>
            <w:tcBorders>
              <w:top w:val="single" w:sz="8" w:space="0" w:color="000000"/>
              <w:left w:val="nil"/>
              <w:bottom w:val="single" w:sz="8" w:space="0" w:color="000000"/>
              <w:right w:val="nil"/>
            </w:tcBorders>
            <w:tcMar>
              <w:top w:w="0" w:type="dxa"/>
              <w:left w:w="0" w:type="dxa"/>
              <w:bottom w:w="0" w:type="dxa"/>
              <w:right w:w="15" w:type="dxa"/>
            </w:tcMar>
            <w:vAlign w:val="bottom"/>
          </w:tcPr>
          <w:p w14:paraId="43373B9D" w14:textId="77777777" w:rsidR="0008228C" w:rsidRDefault="00193375">
            <w:pPr>
              <w:tabs>
                <w:tab w:val="left" w:pos="1197"/>
                <w:tab w:val="left" w:pos="1627"/>
              </w:tabs>
              <w:spacing w:before="33" w:after="30" w:line="300" w:lineRule="auto"/>
              <w:jc w:val="right"/>
            </w:pPr>
            <w:r>
              <w:rPr>
                <w:color w:val="000000"/>
                <w:sz w:val="14"/>
              </w:rPr>
              <w:tab/>
              <w:t>15,552</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38F6C024" w14:textId="77777777" w:rsidR="0008228C" w:rsidRDefault="0008228C">
            <w:pPr>
              <w:spacing w:before="33" w:after="30" w:line="300" w:lineRule="auto"/>
              <w:jc w:val="right"/>
            </w:pPr>
          </w:p>
        </w:tc>
        <w:tc>
          <w:tcPr>
            <w:tcW w:w="1695" w:type="dxa"/>
            <w:tcBorders>
              <w:top w:val="single" w:sz="8" w:space="0" w:color="000000"/>
              <w:left w:val="nil"/>
              <w:bottom w:val="single" w:sz="8" w:space="0" w:color="000000"/>
              <w:right w:val="nil"/>
            </w:tcBorders>
            <w:tcMar>
              <w:top w:w="0" w:type="dxa"/>
              <w:left w:w="0" w:type="dxa"/>
              <w:bottom w:w="0" w:type="dxa"/>
              <w:right w:w="15" w:type="dxa"/>
            </w:tcMar>
            <w:vAlign w:val="bottom"/>
          </w:tcPr>
          <w:p w14:paraId="6D35F134" w14:textId="77777777" w:rsidR="0008228C" w:rsidRDefault="00193375">
            <w:pPr>
              <w:tabs>
                <w:tab w:val="left" w:pos="1197"/>
                <w:tab w:val="left" w:pos="1627"/>
              </w:tabs>
              <w:spacing w:before="33" w:after="30" w:line="300" w:lineRule="auto"/>
              <w:jc w:val="right"/>
            </w:pPr>
            <w:r>
              <w:rPr>
                <w:color w:val="000000"/>
                <w:sz w:val="14"/>
              </w:rPr>
              <w:tab/>
              <w:t>14,866</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497346B6" w14:textId="77777777" w:rsidR="0008228C" w:rsidRDefault="0008228C">
            <w:pPr>
              <w:spacing w:before="33" w:after="30" w:line="300" w:lineRule="auto"/>
              <w:jc w:val="right"/>
            </w:pPr>
          </w:p>
        </w:tc>
        <w:tc>
          <w:tcPr>
            <w:tcW w:w="1695" w:type="dxa"/>
            <w:tcBorders>
              <w:top w:val="single" w:sz="8" w:space="0" w:color="000000"/>
              <w:left w:val="nil"/>
              <w:bottom w:val="single" w:sz="8" w:space="0" w:color="000000"/>
              <w:right w:val="nil"/>
            </w:tcBorders>
            <w:tcMar>
              <w:top w:w="0" w:type="dxa"/>
              <w:left w:w="0" w:type="dxa"/>
              <w:bottom w:w="0" w:type="dxa"/>
              <w:right w:w="15" w:type="dxa"/>
            </w:tcMar>
            <w:vAlign w:val="bottom"/>
          </w:tcPr>
          <w:p w14:paraId="666C8078" w14:textId="77777777" w:rsidR="0008228C" w:rsidRDefault="00193375">
            <w:pPr>
              <w:tabs>
                <w:tab w:val="left" w:pos="1197"/>
                <w:tab w:val="left" w:pos="1627"/>
              </w:tabs>
              <w:spacing w:before="33" w:after="30" w:line="300" w:lineRule="auto"/>
              <w:jc w:val="right"/>
            </w:pPr>
            <w:r>
              <w:rPr>
                <w:color w:val="000000"/>
                <w:sz w:val="14"/>
              </w:rPr>
              <w:tab/>
              <w:t>11,178</w:t>
            </w:r>
            <w:r>
              <w:rPr>
                <w:color w:val="000000"/>
                <w:sz w:val="14"/>
              </w:rPr>
              <w:tab/>
            </w:r>
          </w:p>
        </w:tc>
      </w:tr>
      <w:tr w:rsidR="0008228C" w14:paraId="0A9EDCB3"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0F266EEC" w14:textId="77777777" w:rsidR="0008228C" w:rsidRDefault="00193375">
            <w:pPr>
              <w:spacing w:before="33" w:after="30" w:line="300" w:lineRule="auto"/>
              <w:ind w:left="180"/>
            </w:pPr>
            <w:r>
              <w:rPr>
                <w:color w:val="000000"/>
                <w:sz w:val="14"/>
              </w:rPr>
              <w:t>Income before income tax expense</w:t>
            </w:r>
          </w:p>
        </w:tc>
        <w:tc>
          <w:tcPr>
            <w:tcW w:w="1695" w:type="dxa"/>
            <w:tcBorders>
              <w:top w:val="single" w:sz="8" w:space="0" w:color="000000"/>
              <w:left w:val="nil"/>
              <w:bottom w:val="nil"/>
              <w:right w:val="nil"/>
            </w:tcBorders>
            <w:tcMar>
              <w:top w:w="0" w:type="dxa"/>
              <w:left w:w="0" w:type="dxa"/>
              <w:bottom w:w="0" w:type="dxa"/>
              <w:right w:w="15" w:type="dxa"/>
            </w:tcMar>
            <w:vAlign w:val="bottom"/>
          </w:tcPr>
          <w:p w14:paraId="507A04F6" w14:textId="77777777" w:rsidR="0008228C" w:rsidRDefault="00193375">
            <w:pPr>
              <w:tabs>
                <w:tab w:val="left" w:pos="1267"/>
                <w:tab w:val="left" w:pos="1627"/>
              </w:tabs>
              <w:spacing w:before="33" w:after="30" w:line="300" w:lineRule="auto"/>
              <w:jc w:val="right"/>
            </w:pPr>
            <w:r>
              <w:rPr>
                <w:color w:val="000000"/>
                <w:sz w:val="14"/>
              </w:rPr>
              <w:tab/>
              <w:t>1,996</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41D382A"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2000AB8E" w14:textId="77777777" w:rsidR="0008228C" w:rsidRDefault="00193375">
            <w:pPr>
              <w:tabs>
                <w:tab w:val="left" w:pos="1267"/>
                <w:tab w:val="left" w:pos="1627"/>
              </w:tabs>
              <w:spacing w:before="33" w:after="30" w:line="300" w:lineRule="auto"/>
              <w:jc w:val="right"/>
            </w:pPr>
            <w:r>
              <w:rPr>
                <w:color w:val="000000"/>
                <w:sz w:val="14"/>
              </w:rPr>
              <w:tab/>
              <w:t>4,793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54C229A5" w14:textId="77777777" w:rsidR="0008228C" w:rsidRDefault="0008228C">
            <w:pPr>
              <w:spacing w:before="33" w:after="30" w:line="300" w:lineRule="auto"/>
              <w:jc w:val="right"/>
            </w:pPr>
          </w:p>
        </w:tc>
        <w:tc>
          <w:tcPr>
            <w:tcW w:w="1695" w:type="dxa"/>
            <w:tcBorders>
              <w:top w:val="single" w:sz="8" w:space="0" w:color="000000"/>
              <w:left w:val="nil"/>
              <w:bottom w:val="nil"/>
              <w:right w:val="nil"/>
            </w:tcBorders>
            <w:tcMar>
              <w:top w:w="0" w:type="dxa"/>
              <w:left w:w="0" w:type="dxa"/>
              <w:bottom w:w="0" w:type="dxa"/>
              <w:right w:w="15" w:type="dxa"/>
            </w:tcMar>
            <w:vAlign w:val="bottom"/>
          </w:tcPr>
          <w:p w14:paraId="37C48E96" w14:textId="77777777" w:rsidR="0008228C" w:rsidRDefault="00193375">
            <w:pPr>
              <w:tabs>
                <w:tab w:val="left" w:pos="1267"/>
                <w:tab w:val="left" w:pos="1627"/>
              </w:tabs>
              <w:spacing w:before="33" w:after="30" w:line="300" w:lineRule="auto"/>
              <w:jc w:val="right"/>
            </w:pPr>
            <w:r>
              <w:rPr>
                <w:color w:val="000000"/>
                <w:sz w:val="14"/>
              </w:rPr>
              <w:tab/>
              <w:t>2,009</w:t>
            </w:r>
            <w:r>
              <w:rPr>
                <w:color w:val="000000"/>
                <w:sz w:val="14"/>
              </w:rPr>
              <w:tab/>
            </w:r>
          </w:p>
        </w:tc>
      </w:tr>
      <w:tr w:rsidR="0008228C" w14:paraId="1BEDFB23"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0B856817" w14:textId="77777777" w:rsidR="0008228C" w:rsidRDefault="00193375">
            <w:pPr>
              <w:spacing w:before="53" w:after="30" w:line="300" w:lineRule="auto"/>
            </w:pPr>
            <w:r>
              <w:rPr>
                <w:color w:val="000000"/>
                <w:sz w:val="14"/>
              </w:rPr>
              <w:t>Income tax expense</w:t>
            </w:r>
          </w:p>
        </w:tc>
        <w:tc>
          <w:tcPr>
            <w:tcW w:w="1695" w:type="dxa"/>
            <w:tcBorders>
              <w:top w:val="nil"/>
              <w:left w:val="nil"/>
              <w:bottom w:val="single" w:sz="8" w:space="0" w:color="000000"/>
              <w:right w:val="nil"/>
            </w:tcBorders>
            <w:tcMar>
              <w:top w:w="0" w:type="dxa"/>
              <w:left w:w="0" w:type="dxa"/>
              <w:bottom w:w="0" w:type="dxa"/>
              <w:right w:w="15" w:type="dxa"/>
            </w:tcMar>
            <w:vAlign w:val="bottom"/>
          </w:tcPr>
          <w:p w14:paraId="17F70284" w14:textId="77777777" w:rsidR="0008228C" w:rsidRDefault="00193375">
            <w:pPr>
              <w:tabs>
                <w:tab w:val="left" w:pos="1372"/>
                <w:tab w:val="left" w:pos="1627"/>
              </w:tabs>
              <w:spacing w:before="53" w:after="30" w:line="300" w:lineRule="auto"/>
              <w:jc w:val="right"/>
            </w:pPr>
            <w:r>
              <w:rPr>
                <w:color w:val="000000"/>
                <w:sz w:val="14"/>
              </w:rPr>
              <w:tab/>
              <w:t>550</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7A28325B"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7320B3EF" w14:textId="77777777" w:rsidR="0008228C" w:rsidRDefault="00193375">
            <w:pPr>
              <w:tabs>
                <w:tab w:val="left" w:pos="1267"/>
                <w:tab w:val="left" w:pos="1627"/>
              </w:tabs>
              <w:spacing w:before="53" w:after="30" w:line="300" w:lineRule="auto"/>
              <w:jc w:val="right"/>
            </w:pPr>
            <w:r>
              <w:rPr>
                <w:color w:val="000000"/>
                <w:sz w:val="14"/>
              </w:rPr>
              <w:tab/>
              <w:t>1,418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48A3C0CC" w14:textId="77777777" w:rsidR="0008228C" w:rsidRDefault="0008228C">
            <w:pPr>
              <w:spacing w:before="53" w:after="30" w:line="300" w:lineRule="auto"/>
              <w:jc w:val="right"/>
            </w:pPr>
          </w:p>
        </w:tc>
        <w:tc>
          <w:tcPr>
            <w:tcW w:w="1695" w:type="dxa"/>
            <w:tcBorders>
              <w:top w:val="nil"/>
              <w:left w:val="nil"/>
              <w:bottom w:val="single" w:sz="8" w:space="0" w:color="000000"/>
              <w:right w:val="nil"/>
            </w:tcBorders>
            <w:tcMar>
              <w:top w:w="0" w:type="dxa"/>
              <w:left w:w="0" w:type="dxa"/>
              <w:bottom w:w="0" w:type="dxa"/>
              <w:right w:w="15" w:type="dxa"/>
            </w:tcMar>
            <w:vAlign w:val="bottom"/>
          </w:tcPr>
          <w:p w14:paraId="4D283E61" w14:textId="77777777" w:rsidR="0008228C" w:rsidRDefault="00193375">
            <w:pPr>
              <w:tabs>
                <w:tab w:val="left" w:pos="1372"/>
                <w:tab w:val="left" w:pos="1627"/>
              </w:tabs>
              <w:spacing w:before="53" w:after="30" w:line="300" w:lineRule="auto"/>
              <w:jc w:val="right"/>
            </w:pPr>
            <w:r>
              <w:rPr>
                <w:color w:val="000000"/>
                <w:sz w:val="14"/>
              </w:rPr>
              <w:tab/>
              <w:t>578</w:t>
            </w:r>
            <w:r>
              <w:rPr>
                <w:color w:val="000000"/>
                <w:sz w:val="14"/>
              </w:rPr>
              <w:tab/>
            </w:r>
          </w:p>
        </w:tc>
      </w:tr>
      <w:tr w:rsidR="0008228C" w14:paraId="3599FEB1"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13C836C6" w14:textId="77777777" w:rsidR="0008228C" w:rsidRDefault="00193375">
            <w:pPr>
              <w:spacing w:before="33" w:after="30" w:line="300" w:lineRule="auto"/>
              <w:ind w:left="180"/>
            </w:pPr>
            <w:r>
              <w:rPr>
                <w:color w:val="000000"/>
                <w:sz w:val="14"/>
              </w:rPr>
              <w:t>Net Income</w:t>
            </w:r>
          </w:p>
        </w:tc>
        <w:tc>
          <w:tcPr>
            <w:tcW w:w="1695" w:type="dxa"/>
            <w:tcBorders>
              <w:top w:val="single" w:sz="8" w:space="0" w:color="000000"/>
              <w:left w:val="nil"/>
              <w:bottom w:val="double" w:sz="8" w:space="0" w:color="000000"/>
              <w:right w:val="nil"/>
            </w:tcBorders>
            <w:tcMar>
              <w:top w:w="0" w:type="dxa"/>
              <w:left w:w="0" w:type="dxa"/>
              <w:bottom w:w="0" w:type="dxa"/>
              <w:right w:w="15" w:type="dxa"/>
            </w:tcMar>
            <w:vAlign w:val="bottom"/>
          </w:tcPr>
          <w:p w14:paraId="02EA013B" w14:textId="77777777" w:rsidR="0008228C" w:rsidRDefault="00193375">
            <w:pPr>
              <w:tabs>
                <w:tab w:val="left" w:pos="1267"/>
                <w:tab w:val="left" w:pos="1627"/>
              </w:tabs>
              <w:spacing w:before="33" w:after="30" w:line="300" w:lineRule="auto"/>
              <w:jc w:val="right"/>
            </w:pPr>
            <w:r>
              <w:rPr>
                <w:color w:val="000000"/>
                <w:sz w:val="14"/>
              </w:rPr>
              <w:t>$</w:t>
            </w:r>
            <w:r>
              <w:rPr>
                <w:color w:val="000000"/>
                <w:sz w:val="14"/>
              </w:rPr>
              <w:tab/>
              <w:t>1,446</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663DE9DB" w14:textId="77777777" w:rsidR="0008228C" w:rsidRDefault="0008228C"/>
        </w:tc>
        <w:tc>
          <w:tcPr>
            <w:tcW w:w="1695" w:type="dxa"/>
            <w:tcBorders>
              <w:top w:val="single" w:sz="8" w:space="0" w:color="000000"/>
              <w:left w:val="nil"/>
              <w:bottom w:val="double" w:sz="8" w:space="0" w:color="000000"/>
              <w:right w:val="nil"/>
            </w:tcBorders>
            <w:tcMar>
              <w:top w:w="0" w:type="dxa"/>
              <w:left w:w="0" w:type="dxa"/>
              <w:bottom w:w="0" w:type="dxa"/>
              <w:right w:w="15" w:type="dxa"/>
            </w:tcMar>
            <w:vAlign w:val="bottom"/>
          </w:tcPr>
          <w:p w14:paraId="704163F4" w14:textId="77777777" w:rsidR="0008228C" w:rsidRDefault="00193375">
            <w:pPr>
              <w:tabs>
                <w:tab w:val="left" w:pos="1267"/>
                <w:tab w:val="left" w:pos="1627"/>
              </w:tabs>
              <w:spacing w:before="33" w:after="30" w:line="300" w:lineRule="auto"/>
              <w:jc w:val="right"/>
            </w:pPr>
            <w:r>
              <w:rPr>
                <w:color w:val="000000"/>
                <w:sz w:val="14"/>
              </w:rPr>
              <w:t>$</w:t>
            </w:r>
            <w:r>
              <w:rPr>
                <w:color w:val="000000"/>
                <w:sz w:val="14"/>
              </w:rPr>
              <w:tab/>
              <w:t>3,375</w:t>
            </w:r>
            <w:r>
              <w:rPr>
                <w:color w:val="000000"/>
                <w:sz w:val="14"/>
              </w:rPr>
              <w:tab/>
            </w:r>
          </w:p>
        </w:tc>
        <w:tc>
          <w:tcPr>
            <w:tcW w:w="60" w:type="dxa"/>
            <w:tcBorders>
              <w:top w:val="nil"/>
              <w:left w:val="nil"/>
              <w:bottom w:val="nil"/>
              <w:right w:val="nil"/>
            </w:tcBorders>
            <w:tcMar>
              <w:top w:w="0" w:type="dxa"/>
              <w:left w:w="0" w:type="dxa"/>
              <w:bottom w:w="0" w:type="dxa"/>
              <w:right w:w="0" w:type="dxa"/>
            </w:tcMar>
            <w:vAlign w:val="bottom"/>
          </w:tcPr>
          <w:p w14:paraId="17A47FFA" w14:textId="77777777" w:rsidR="0008228C" w:rsidRDefault="0008228C"/>
        </w:tc>
        <w:tc>
          <w:tcPr>
            <w:tcW w:w="1695" w:type="dxa"/>
            <w:tcBorders>
              <w:top w:val="single" w:sz="8" w:space="0" w:color="000000"/>
              <w:left w:val="nil"/>
              <w:bottom w:val="double" w:sz="8" w:space="0" w:color="000000"/>
              <w:right w:val="nil"/>
            </w:tcBorders>
            <w:tcMar>
              <w:top w:w="0" w:type="dxa"/>
              <w:left w:w="0" w:type="dxa"/>
              <w:bottom w:w="0" w:type="dxa"/>
              <w:right w:w="15" w:type="dxa"/>
            </w:tcMar>
            <w:vAlign w:val="bottom"/>
          </w:tcPr>
          <w:p w14:paraId="1CCE68DF" w14:textId="77777777" w:rsidR="0008228C" w:rsidRDefault="00193375">
            <w:pPr>
              <w:tabs>
                <w:tab w:val="left" w:pos="1267"/>
                <w:tab w:val="left" w:pos="1627"/>
              </w:tabs>
              <w:spacing w:before="33" w:after="30" w:line="300" w:lineRule="auto"/>
              <w:jc w:val="right"/>
            </w:pPr>
            <w:r>
              <w:rPr>
                <w:color w:val="000000"/>
                <w:sz w:val="14"/>
              </w:rPr>
              <w:t>$</w:t>
            </w:r>
            <w:r>
              <w:rPr>
                <w:color w:val="000000"/>
                <w:sz w:val="14"/>
              </w:rPr>
              <w:tab/>
              <w:t>1,431</w:t>
            </w:r>
            <w:r>
              <w:rPr>
                <w:color w:val="000000"/>
                <w:sz w:val="14"/>
              </w:rPr>
              <w:tab/>
            </w:r>
          </w:p>
        </w:tc>
      </w:tr>
      <w:tr w:rsidR="0008228C" w14:paraId="35FAB6B2" w14:textId="77777777">
        <w:trPr>
          <w:cantSplit/>
          <w:trHeight w:hRule="exact" w:val="315"/>
        </w:trPr>
        <w:tc>
          <w:tcPr>
            <w:tcW w:w="5595" w:type="dxa"/>
            <w:tcBorders>
              <w:top w:val="nil"/>
              <w:left w:val="nil"/>
              <w:bottom w:val="nil"/>
              <w:right w:val="nil"/>
            </w:tcBorders>
            <w:tcMar>
              <w:top w:w="0" w:type="dxa"/>
              <w:left w:w="0" w:type="dxa"/>
              <w:bottom w:w="0" w:type="dxa"/>
              <w:right w:w="0" w:type="dxa"/>
            </w:tcMar>
            <w:vAlign w:val="bottom"/>
          </w:tcPr>
          <w:p w14:paraId="6FCC914F" w14:textId="77777777" w:rsidR="0008228C" w:rsidRDefault="0008228C"/>
        </w:tc>
        <w:tc>
          <w:tcPr>
            <w:tcW w:w="1695" w:type="dxa"/>
            <w:tcBorders>
              <w:top w:val="double" w:sz="8" w:space="0" w:color="000000"/>
              <w:left w:val="nil"/>
              <w:bottom w:val="nil"/>
              <w:right w:val="nil"/>
            </w:tcBorders>
            <w:tcMar>
              <w:top w:w="0" w:type="dxa"/>
              <w:left w:w="0" w:type="dxa"/>
              <w:bottom w:w="0" w:type="dxa"/>
              <w:right w:w="0" w:type="dxa"/>
            </w:tcMar>
            <w:vAlign w:val="bottom"/>
          </w:tcPr>
          <w:p w14:paraId="15EF68B5"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C90958A" w14:textId="77777777" w:rsidR="0008228C" w:rsidRDefault="0008228C"/>
        </w:tc>
        <w:tc>
          <w:tcPr>
            <w:tcW w:w="1695" w:type="dxa"/>
            <w:tcBorders>
              <w:top w:val="double" w:sz="8" w:space="0" w:color="000000"/>
              <w:left w:val="nil"/>
              <w:bottom w:val="nil"/>
              <w:right w:val="nil"/>
            </w:tcBorders>
            <w:tcMar>
              <w:top w:w="0" w:type="dxa"/>
              <w:left w:w="0" w:type="dxa"/>
              <w:bottom w:w="0" w:type="dxa"/>
              <w:right w:w="0" w:type="dxa"/>
            </w:tcMar>
            <w:vAlign w:val="bottom"/>
          </w:tcPr>
          <w:p w14:paraId="71C581EE"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1168D82" w14:textId="77777777" w:rsidR="0008228C" w:rsidRDefault="0008228C"/>
        </w:tc>
        <w:tc>
          <w:tcPr>
            <w:tcW w:w="1695" w:type="dxa"/>
            <w:tcBorders>
              <w:top w:val="double" w:sz="8" w:space="0" w:color="000000"/>
              <w:left w:val="nil"/>
              <w:bottom w:val="nil"/>
              <w:right w:val="nil"/>
            </w:tcBorders>
            <w:tcMar>
              <w:top w:w="0" w:type="dxa"/>
              <w:left w:w="0" w:type="dxa"/>
              <w:bottom w:w="0" w:type="dxa"/>
              <w:right w:w="0" w:type="dxa"/>
            </w:tcMar>
            <w:vAlign w:val="bottom"/>
          </w:tcPr>
          <w:p w14:paraId="193F8C6B" w14:textId="77777777" w:rsidR="0008228C" w:rsidRDefault="0008228C"/>
        </w:tc>
      </w:tr>
      <w:tr w:rsidR="0008228C" w14:paraId="5710644D"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6E3F8BA0" w14:textId="77777777" w:rsidR="0008228C" w:rsidRDefault="00193375">
            <w:pPr>
              <w:spacing w:before="53" w:after="30" w:line="300" w:lineRule="auto"/>
            </w:pPr>
            <w:r>
              <w:rPr>
                <w:color w:val="000000"/>
                <w:sz w:val="14"/>
              </w:rPr>
              <w:t>Net income per share - basic</w:t>
            </w:r>
          </w:p>
        </w:tc>
        <w:tc>
          <w:tcPr>
            <w:tcW w:w="1695" w:type="dxa"/>
            <w:tcBorders>
              <w:top w:val="nil"/>
              <w:left w:val="nil"/>
              <w:bottom w:val="nil"/>
              <w:right w:val="nil"/>
            </w:tcBorders>
            <w:tcMar>
              <w:top w:w="0" w:type="dxa"/>
              <w:left w:w="0" w:type="dxa"/>
              <w:bottom w:w="0" w:type="dxa"/>
              <w:right w:w="15" w:type="dxa"/>
            </w:tcMar>
            <w:vAlign w:val="bottom"/>
          </w:tcPr>
          <w:p w14:paraId="16DC6579" w14:textId="77777777" w:rsidR="0008228C" w:rsidRDefault="00193375">
            <w:pPr>
              <w:tabs>
                <w:tab w:val="left" w:pos="1337"/>
                <w:tab w:val="left" w:pos="1627"/>
              </w:tabs>
              <w:spacing w:before="53" w:after="30" w:line="300" w:lineRule="auto"/>
              <w:jc w:val="right"/>
            </w:pPr>
            <w:r>
              <w:rPr>
                <w:color w:val="000000"/>
                <w:sz w:val="14"/>
              </w:rPr>
              <w:t>$</w:t>
            </w:r>
            <w:r>
              <w:rPr>
                <w:color w:val="000000"/>
                <w:sz w:val="14"/>
              </w:rPr>
              <w:tab/>
              <w:t>0.08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202D9F9C"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150F68C" w14:textId="77777777" w:rsidR="0008228C" w:rsidRDefault="00193375">
            <w:pPr>
              <w:tabs>
                <w:tab w:val="left" w:pos="1337"/>
                <w:tab w:val="left" w:pos="1627"/>
              </w:tabs>
              <w:spacing w:before="53" w:after="30" w:line="300" w:lineRule="auto"/>
              <w:jc w:val="right"/>
            </w:pPr>
            <w:r>
              <w:rPr>
                <w:color w:val="000000"/>
                <w:sz w:val="14"/>
              </w:rPr>
              <w:t>$</w:t>
            </w:r>
            <w:r>
              <w:rPr>
                <w:color w:val="000000"/>
                <w:sz w:val="14"/>
              </w:rPr>
              <w:tab/>
              <w:t>0.19</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6A0F0849"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5DBDD7E5" w14:textId="77777777" w:rsidR="0008228C" w:rsidRDefault="00193375">
            <w:pPr>
              <w:tabs>
                <w:tab w:val="left" w:pos="1337"/>
                <w:tab w:val="left" w:pos="1627"/>
              </w:tabs>
              <w:spacing w:before="53" w:after="30" w:line="300" w:lineRule="auto"/>
              <w:jc w:val="right"/>
            </w:pPr>
            <w:r>
              <w:rPr>
                <w:color w:val="000000"/>
                <w:sz w:val="14"/>
              </w:rPr>
              <w:t>$</w:t>
            </w:r>
            <w:r>
              <w:rPr>
                <w:color w:val="000000"/>
                <w:sz w:val="14"/>
              </w:rPr>
              <w:tab/>
              <w:t>0.11</w:t>
            </w:r>
            <w:r>
              <w:rPr>
                <w:color w:val="000000"/>
                <w:sz w:val="14"/>
              </w:rPr>
              <w:tab/>
            </w:r>
          </w:p>
        </w:tc>
      </w:tr>
      <w:tr w:rsidR="0008228C" w14:paraId="449F48FF"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2AE4BE55" w14:textId="77777777" w:rsidR="0008228C" w:rsidRDefault="00193375">
            <w:pPr>
              <w:spacing w:before="53" w:after="30" w:line="300" w:lineRule="auto"/>
            </w:pPr>
            <w:r>
              <w:rPr>
                <w:color w:val="000000"/>
                <w:sz w:val="14"/>
              </w:rPr>
              <w:t>Net income per share - diluted</w:t>
            </w:r>
          </w:p>
        </w:tc>
        <w:tc>
          <w:tcPr>
            <w:tcW w:w="1695" w:type="dxa"/>
            <w:tcBorders>
              <w:top w:val="nil"/>
              <w:left w:val="nil"/>
              <w:bottom w:val="nil"/>
              <w:right w:val="nil"/>
            </w:tcBorders>
            <w:tcMar>
              <w:top w:w="0" w:type="dxa"/>
              <w:left w:w="0" w:type="dxa"/>
              <w:bottom w:w="0" w:type="dxa"/>
              <w:right w:w="15" w:type="dxa"/>
            </w:tcMar>
            <w:vAlign w:val="bottom"/>
          </w:tcPr>
          <w:p w14:paraId="24668CFC" w14:textId="77777777" w:rsidR="0008228C" w:rsidRDefault="00193375">
            <w:pPr>
              <w:tabs>
                <w:tab w:val="left" w:pos="1337"/>
                <w:tab w:val="left" w:pos="1627"/>
              </w:tabs>
              <w:spacing w:before="53" w:after="30" w:line="300" w:lineRule="auto"/>
              <w:jc w:val="right"/>
            </w:pPr>
            <w:r>
              <w:rPr>
                <w:color w:val="000000"/>
                <w:sz w:val="14"/>
              </w:rPr>
              <w:t>$</w:t>
            </w:r>
            <w:r>
              <w:rPr>
                <w:color w:val="000000"/>
                <w:sz w:val="14"/>
              </w:rPr>
              <w:tab/>
              <w:t>0.08</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0D3B6BAD"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3B9E944E" w14:textId="77777777" w:rsidR="0008228C" w:rsidRDefault="00193375">
            <w:pPr>
              <w:tabs>
                <w:tab w:val="left" w:pos="1337"/>
                <w:tab w:val="left" w:pos="1627"/>
              </w:tabs>
              <w:spacing w:before="53" w:after="30" w:line="300" w:lineRule="auto"/>
              <w:jc w:val="right"/>
            </w:pPr>
            <w:r>
              <w:rPr>
                <w:color w:val="000000"/>
                <w:sz w:val="14"/>
              </w:rPr>
              <w:t>$</w:t>
            </w:r>
            <w:r>
              <w:rPr>
                <w:color w:val="000000"/>
                <w:sz w:val="14"/>
              </w:rPr>
              <w:tab/>
              <w:t>0.19</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4DAC409D"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64379D6D" w14:textId="77777777" w:rsidR="0008228C" w:rsidRDefault="00193375">
            <w:pPr>
              <w:tabs>
                <w:tab w:val="left" w:pos="1337"/>
                <w:tab w:val="left" w:pos="1627"/>
              </w:tabs>
              <w:spacing w:before="53" w:after="30" w:line="300" w:lineRule="auto"/>
              <w:jc w:val="right"/>
            </w:pPr>
            <w:r>
              <w:rPr>
                <w:color w:val="000000"/>
                <w:sz w:val="14"/>
              </w:rPr>
              <w:t>$</w:t>
            </w:r>
            <w:r>
              <w:rPr>
                <w:color w:val="000000"/>
                <w:sz w:val="14"/>
              </w:rPr>
              <w:tab/>
              <w:t>0.10</w:t>
            </w:r>
            <w:r>
              <w:rPr>
                <w:color w:val="000000"/>
                <w:sz w:val="14"/>
              </w:rPr>
              <w:tab/>
            </w:r>
          </w:p>
        </w:tc>
      </w:tr>
      <w:tr w:rsidR="0008228C" w14:paraId="11F2A69A" w14:textId="77777777">
        <w:trPr>
          <w:cantSplit/>
          <w:trHeight w:hRule="exact" w:val="210"/>
        </w:trPr>
        <w:tc>
          <w:tcPr>
            <w:tcW w:w="5595" w:type="dxa"/>
            <w:tcBorders>
              <w:top w:val="nil"/>
              <w:left w:val="nil"/>
              <w:bottom w:val="nil"/>
              <w:right w:val="nil"/>
            </w:tcBorders>
            <w:tcMar>
              <w:top w:w="0" w:type="dxa"/>
              <w:left w:w="53" w:type="dxa"/>
              <w:bottom w:w="0" w:type="dxa"/>
              <w:right w:w="53" w:type="dxa"/>
            </w:tcMar>
            <w:vAlign w:val="bottom"/>
          </w:tcPr>
          <w:p w14:paraId="2DC035C8" w14:textId="77777777" w:rsidR="0008228C" w:rsidRDefault="00193375">
            <w:pPr>
              <w:spacing w:before="53" w:after="30" w:line="300" w:lineRule="auto"/>
              <w:rPr>
                <w:sz w:val="14"/>
              </w:rPr>
            </w:pPr>
            <w:r>
              <w:rPr>
                <w:sz w:val="14"/>
              </w:rPr>
              <w:t xml:space="preserve">Pre-tax, pre-provision income </w:t>
            </w:r>
            <w:r>
              <w:rPr>
                <w:sz w:val="14"/>
                <w:vertAlign w:val="superscript"/>
              </w:rPr>
              <w:t>(1)</w:t>
            </w:r>
          </w:p>
        </w:tc>
        <w:tc>
          <w:tcPr>
            <w:tcW w:w="1695" w:type="dxa"/>
            <w:tcBorders>
              <w:top w:val="nil"/>
              <w:left w:val="nil"/>
              <w:bottom w:val="nil"/>
              <w:right w:val="nil"/>
            </w:tcBorders>
            <w:tcMar>
              <w:top w:w="0" w:type="dxa"/>
              <w:left w:w="0" w:type="dxa"/>
              <w:bottom w:w="0" w:type="dxa"/>
              <w:right w:w="15" w:type="dxa"/>
            </w:tcMar>
            <w:vAlign w:val="bottom"/>
          </w:tcPr>
          <w:p w14:paraId="41DBF6A6" w14:textId="77777777" w:rsidR="0008228C" w:rsidRDefault="00193375">
            <w:pPr>
              <w:tabs>
                <w:tab w:val="left" w:pos="1267"/>
                <w:tab w:val="left" w:pos="1627"/>
              </w:tabs>
              <w:spacing w:before="53" w:after="30" w:line="300" w:lineRule="auto"/>
              <w:jc w:val="right"/>
            </w:pPr>
            <w:r>
              <w:rPr>
                <w:color w:val="000000"/>
                <w:sz w:val="14"/>
              </w:rPr>
              <w:t>$</w:t>
            </w:r>
            <w:r>
              <w:rPr>
                <w:color w:val="000000"/>
                <w:sz w:val="14"/>
              </w:rPr>
              <w:tab/>
              <w:t>3,846</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2E92129A"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34E05EAF" w14:textId="77777777" w:rsidR="0008228C" w:rsidRDefault="00193375">
            <w:pPr>
              <w:tabs>
                <w:tab w:val="left" w:pos="1267"/>
                <w:tab w:val="left" w:pos="1627"/>
              </w:tabs>
              <w:spacing w:before="53" w:after="30" w:line="300" w:lineRule="auto"/>
              <w:jc w:val="right"/>
            </w:pPr>
            <w:r>
              <w:rPr>
                <w:color w:val="000000"/>
                <w:sz w:val="14"/>
              </w:rPr>
              <w:t>$</w:t>
            </w:r>
            <w:r>
              <w:rPr>
                <w:color w:val="000000"/>
                <w:sz w:val="14"/>
              </w:rPr>
              <w:tab/>
              <w:t>5,993</w:t>
            </w:r>
            <w:r>
              <w:rPr>
                <w:color w:val="000000"/>
                <w:sz w:val="14"/>
              </w:rPr>
              <w:tab/>
            </w:r>
          </w:p>
        </w:tc>
        <w:tc>
          <w:tcPr>
            <w:tcW w:w="60" w:type="dxa"/>
            <w:tcBorders>
              <w:top w:val="nil"/>
              <w:left w:val="nil"/>
              <w:bottom w:val="nil"/>
              <w:right w:val="nil"/>
            </w:tcBorders>
            <w:tcMar>
              <w:top w:w="0" w:type="dxa"/>
              <w:left w:w="0" w:type="dxa"/>
              <w:bottom w:w="0" w:type="dxa"/>
              <w:right w:w="15" w:type="dxa"/>
            </w:tcMar>
            <w:vAlign w:val="bottom"/>
          </w:tcPr>
          <w:p w14:paraId="1E9D3705" w14:textId="77777777" w:rsidR="0008228C" w:rsidRDefault="0008228C">
            <w:pPr>
              <w:spacing w:before="53" w:after="30" w:line="300" w:lineRule="auto"/>
              <w:jc w:val="right"/>
            </w:pPr>
          </w:p>
        </w:tc>
        <w:tc>
          <w:tcPr>
            <w:tcW w:w="1695" w:type="dxa"/>
            <w:tcBorders>
              <w:top w:val="nil"/>
              <w:left w:val="nil"/>
              <w:bottom w:val="nil"/>
              <w:right w:val="nil"/>
            </w:tcBorders>
            <w:tcMar>
              <w:top w:w="0" w:type="dxa"/>
              <w:left w:w="0" w:type="dxa"/>
              <w:bottom w:w="0" w:type="dxa"/>
              <w:right w:w="15" w:type="dxa"/>
            </w:tcMar>
            <w:vAlign w:val="bottom"/>
          </w:tcPr>
          <w:p w14:paraId="10546D52" w14:textId="77777777" w:rsidR="0008228C" w:rsidRDefault="00193375">
            <w:pPr>
              <w:tabs>
                <w:tab w:val="left" w:pos="1267"/>
                <w:tab w:val="left" w:pos="1627"/>
              </w:tabs>
              <w:spacing w:before="53" w:after="30" w:line="300" w:lineRule="auto"/>
              <w:jc w:val="right"/>
            </w:pPr>
            <w:r>
              <w:rPr>
                <w:color w:val="000000"/>
                <w:sz w:val="14"/>
              </w:rPr>
              <w:t>$</w:t>
            </w:r>
            <w:r>
              <w:rPr>
                <w:color w:val="000000"/>
                <w:sz w:val="14"/>
              </w:rPr>
              <w:tab/>
              <w:t>2,009</w:t>
            </w:r>
            <w:r>
              <w:rPr>
                <w:color w:val="000000"/>
                <w:sz w:val="14"/>
              </w:rPr>
              <w:tab/>
            </w:r>
          </w:p>
        </w:tc>
      </w:tr>
      <w:tr w:rsidR="0008228C" w14:paraId="208EBE39" w14:textId="77777777">
        <w:trPr>
          <w:cantSplit/>
          <w:trHeight w:hRule="exact" w:val="210"/>
        </w:trPr>
        <w:tc>
          <w:tcPr>
            <w:tcW w:w="5595" w:type="dxa"/>
            <w:tcBorders>
              <w:top w:val="nil"/>
              <w:left w:val="nil"/>
              <w:bottom w:val="nil"/>
              <w:right w:val="nil"/>
            </w:tcBorders>
            <w:tcMar>
              <w:top w:w="0" w:type="dxa"/>
              <w:left w:w="0" w:type="dxa"/>
              <w:bottom w:w="0" w:type="dxa"/>
              <w:right w:w="0" w:type="dxa"/>
            </w:tcMar>
            <w:vAlign w:val="bottom"/>
          </w:tcPr>
          <w:p w14:paraId="24EE242F"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5EEEE86D"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E579722"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514DBEA7"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E97FB90" w14:textId="77777777" w:rsidR="0008228C" w:rsidRDefault="0008228C"/>
        </w:tc>
        <w:tc>
          <w:tcPr>
            <w:tcW w:w="1695" w:type="dxa"/>
            <w:tcBorders>
              <w:top w:val="nil"/>
              <w:left w:val="nil"/>
              <w:bottom w:val="nil"/>
              <w:right w:val="nil"/>
            </w:tcBorders>
            <w:tcMar>
              <w:top w:w="0" w:type="dxa"/>
              <w:left w:w="0" w:type="dxa"/>
              <w:bottom w:w="0" w:type="dxa"/>
              <w:right w:w="0" w:type="dxa"/>
            </w:tcMar>
            <w:vAlign w:val="bottom"/>
          </w:tcPr>
          <w:p w14:paraId="179A9690" w14:textId="77777777" w:rsidR="0008228C" w:rsidRDefault="0008228C"/>
        </w:tc>
      </w:tr>
    </w:tbl>
    <w:p w14:paraId="1F24551E" w14:textId="77777777" w:rsidR="0008228C" w:rsidRDefault="00193375">
      <w:pPr>
        <w:spacing w:line="288" w:lineRule="auto"/>
        <w:rPr>
          <w:rFonts w:ascii="Calibri" w:eastAsia="Calibri" w:hAnsi="Calibri" w:cs="Calibri"/>
          <w:sz w:val="22"/>
        </w:rPr>
      </w:pPr>
      <w:r>
        <w:rPr>
          <w:i/>
          <w:sz w:val="16"/>
        </w:rPr>
        <w:t>(1) Non-GAAP measure. See – GAAP to Non-GAAP reconciliation</w:t>
      </w:r>
      <w:r>
        <w:rPr>
          <w:sz w:val="16"/>
        </w:rPr>
        <w:t>.</w:t>
      </w:r>
    </w:p>
    <w:p w14:paraId="4FE23385" w14:textId="77777777" w:rsidR="0008228C" w:rsidRDefault="0008228C">
      <w:pPr>
        <w:spacing w:line="288" w:lineRule="auto"/>
        <w:rPr>
          <w:sz w:val="16"/>
        </w:rPr>
      </w:pPr>
    </w:p>
    <w:p w14:paraId="33DF4411" w14:textId="77777777" w:rsidR="0008228C" w:rsidRDefault="0008228C">
      <w:pPr>
        <w:spacing w:line="288" w:lineRule="auto"/>
        <w:rPr>
          <w:rFonts w:ascii="Calibri" w:eastAsia="Calibri" w:hAnsi="Calibri" w:cs="Calibri"/>
          <w:sz w:val="22"/>
        </w:rPr>
        <w:sectPr w:rsidR="0008228C">
          <w:pgSz w:w="12240" w:h="15840"/>
          <w:pgMar w:top="835" w:right="720" w:bottom="1238" w:left="720" w:header="560" w:footer="720" w:gutter="0"/>
          <w:cols w:space="708"/>
        </w:sectPr>
      </w:pPr>
    </w:p>
    <w:p w14:paraId="17431659" w14:textId="77777777" w:rsidR="0008228C" w:rsidRDefault="0008228C">
      <w:pPr>
        <w:spacing w:after="2" w:line="288" w:lineRule="auto"/>
        <w:rPr>
          <w:rFonts w:ascii="Cambria" w:eastAsia="Cambria" w:hAnsi="Cambria" w:cs="Cambria"/>
          <w:sz w:val="20"/>
        </w:rPr>
      </w:pPr>
      <w:bookmarkStart w:id="4" w:name="Section5"/>
      <w:bookmarkEnd w:id="4"/>
    </w:p>
    <w:p w14:paraId="03BD0377" w14:textId="77777777" w:rsidR="0008228C" w:rsidRDefault="00193375">
      <w:pPr>
        <w:pageBreakBefore/>
        <w:spacing w:after="2" w:line="288" w:lineRule="auto"/>
        <w:outlineLvl w:val="0"/>
        <w:rPr>
          <w:rFonts w:ascii="Calibri" w:eastAsia="Calibri" w:hAnsi="Calibri" w:cs="Calibri"/>
          <w:sz w:val="22"/>
        </w:rPr>
      </w:pPr>
      <w:r>
        <w:rPr>
          <w:rFonts w:ascii="Cambria" w:eastAsia="Cambria" w:hAnsi="Cambria" w:cs="Cambria"/>
          <w:b/>
          <w:color w:val="005CAB"/>
          <w:sz w:val="20"/>
        </w:rPr>
        <w:lastRenderedPageBreak/>
        <w:t>Southern California</w:t>
      </w:r>
      <w:r>
        <w:rPr>
          <w:rFonts w:ascii="Cambria" w:eastAsia="Cambria" w:hAnsi="Cambria" w:cs="Cambria"/>
          <w:b/>
          <w:sz w:val="20"/>
        </w:rPr>
        <w:t xml:space="preserve"> </w:t>
      </w:r>
      <w:r>
        <w:rPr>
          <w:rFonts w:ascii="Cambria" w:eastAsia="Cambria" w:hAnsi="Cambria" w:cs="Cambria"/>
          <w:b/>
          <w:color w:val="F47B20"/>
          <w:sz w:val="20"/>
        </w:rPr>
        <w:t>Bancorp  and Subsidiary</w:t>
      </w:r>
    </w:p>
    <w:p w14:paraId="053AA960" w14:textId="77777777" w:rsidR="0008228C" w:rsidRDefault="00193375">
      <w:pPr>
        <w:spacing w:line="288" w:lineRule="auto"/>
        <w:rPr>
          <w:rFonts w:ascii="Palatino" w:eastAsia="Palatino" w:hAnsi="Palatino" w:cs="Palatino"/>
          <w:sz w:val="22"/>
        </w:rPr>
      </w:pPr>
      <w:r>
        <w:rPr>
          <w:rFonts w:ascii="Palatino" w:eastAsia="Palatino" w:hAnsi="Palatino" w:cs="Palatino"/>
          <w:sz w:val="16"/>
        </w:rPr>
        <w:t>Average Balance Sheets and Yield Analysis</w:t>
      </w:r>
    </w:p>
    <w:p w14:paraId="368083BE" w14:textId="77777777" w:rsidR="0008228C" w:rsidRDefault="00193375">
      <w:pPr>
        <w:spacing w:line="288" w:lineRule="auto"/>
        <w:rPr>
          <w:rFonts w:ascii="Palatino" w:eastAsia="Palatino" w:hAnsi="Palatino" w:cs="Palatino"/>
          <w:sz w:val="16"/>
        </w:rPr>
      </w:pPr>
      <w:r>
        <w:rPr>
          <w:rFonts w:ascii="Palatino" w:eastAsia="Palatino" w:hAnsi="Palatino" w:cs="Palatino"/>
          <w:sz w:val="16"/>
        </w:rPr>
        <w:t>(Unaudited)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1269"/>
        <w:gridCol w:w="88"/>
        <w:gridCol w:w="1269"/>
        <w:gridCol w:w="126"/>
        <w:gridCol w:w="1269"/>
        <w:gridCol w:w="126"/>
        <w:gridCol w:w="1269"/>
        <w:gridCol w:w="126"/>
        <w:gridCol w:w="1269"/>
        <w:gridCol w:w="126"/>
        <w:gridCol w:w="1269"/>
      </w:tblGrid>
      <w:tr w:rsidR="0008228C" w14:paraId="1B9F0B25" w14:textId="77777777">
        <w:trPr>
          <w:cantSplit/>
          <w:trHeight w:hRule="exact" w:val="240"/>
        </w:trPr>
        <w:tc>
          <w:tcPr>
            <w:tcW w:w="2670" w:type="dxa"/>
            <w:tcBorders>
              <w:top w:val="nil"/>
              <w:left w:val="nil"/>
              <w:bottom w:val="nil"/>
              <w:right w:val="nil"/>
            </w:tcBorders>
            <w:tcMar>
              <w:top w:w="0" w:type="dxa"/>
              <w:left w:w="0" w:type="dxa"/>
              <w:bottom w:w="0" w:type="dxa"/>
              <w:right w:w="0" w:type="dxa"/>
            </w:tcMar>
            <w:vAlign w:val="bottom"/>
          </w:tcPr>
          <w:p w14:paraId="7B4AEEE1" w14:textId="77777777" w:rsidR="0008228C" w:rsidRDefault="0008228C"/>
        </w:tc>
        <w:tc>
          <w:tcPr>
            <w:tcW w:w="8130" w:type="dxa"/>
            <w:gridSpan w:val="11"/>
            <w:tcBorders>
              <w:top w:val="nil"/>
              <w:left w:val="nil"/>
              <w:bottom w:val="single" w:sz="8" w:space="0" w:color="000000"/>
              <w:right w:val="nil"/>
            </w:tcBorders>
            <w:tcMar>
              <w:top w:w="0" w:type="dxa"/>
              <w:left w:w="53" w:type="dxa"/>
              <w:bottom w:w="0" w:type="dxa"/>
              <w:right w:w="53" w:type="dxa"/>
            </w:tcMar>
            <w:vAlign w:val="center"/>
          </w:tcPr>
          <w:p w14:paraId="04BB2C4C" w14:textId="77777777" w:rsidR="0008228C" w:rsidRDefault="00193375">
            <w:pPr>
              <w:spacing w:line="269" w:lineRule="auto"/>
              <w:jc w:val="center"/>
            </w:pPr>
            <w:r>
              <w:rPr>
                <w:b/>
                <w:color w:val="000000"/>
                <w:sz w:val="16"/>
              </w:rPr>
              <w:t>Three Months Ended</w:t>
            </w:r>
          </w:p>
        </w:tc>
      </w:tr>
      <w:tr w:rsidR="0008228C" w14:paraId="5646D408" w14:textId="77777777">
        <w:trPr>
          <w:cantSplit/>
          <w:trHeight w:hRule="exact" w:val="240"/>
        </w:trPr>
        <w:tc>
          <w:tcPr>
            <w:tcW w:w="2670" w:type="dxa"/>
            <w:tcBorders>
              <w:top w:val="nil"/>
              <w:left w:val="nil"/>
              <w:bottom w:val="nil"/>
              <w:right w:val="nil"/>
            </w:tcBorders>
            <w:tcMar>
              <w:top w:w="0" w:type="dxa"/>
              <w:left w:w="0" w:type="dxa"/>
              <w:bottom w:w="0" w:type="dxa"/>
              <w:right w:w="0" w:type="dxa"/>
            </w:tcMar>
            <w:vAlign w:val="bottom"/>
          </w:tcPr>
          <w:p w14:paraId="3F7B525F" w14:textId="77777777" w:rsidR="0008228C" w:rsidRDefault="0008228C"/>
        </w:tc>
        <w:tc>
          <w:tcPr>
            <w:tcW w:w="4035" w:type="dxa"/>
            <w:gridSpan w:val="5"/>
            <w:tcBorders>
              <w:top w:val="nil"/>
              <w:left w:val="nil"/>
              <w:bottom w:val="single" w:sz="8" w:space="0" w:color="000000"/>
              <w:right w:val="nil"/>
            </w:tcBorders>
            <w:tcMar>
              <w:top w:w="0" w:type="dxa"/>
              <w:left w:w="53" w:type="dxa"/>
              <w:bottom w:w="0" w:type="dxa"/>
              <w:right w:w="53" w:type="dxa"/>
            </w:tcMar>
            <w:vAlign w:val="center"/>
          </w:tcPr>
          <w:p w14:paraId="7913EEBC" w14:textId="77777777" w:rsidR="0008228C" w:rsidRDefault="00193375">
            <w:pPr>
              <w:spacing w:line="269" w:lineRule="auto"/>
              <w:jc w:val="center"/>
            </w:pPr>
            <w:r>
              <w:rPr>
                <w:b/>
                <w:color w:val="000000"/>
                <w:sz w:val="16"/>
              </w:rPr>
              <w:t>March 31, 2022</w:t>
            </w:r>
          </w:p>
        </w:tc>
        <w:tc>
          <w:tcPr>
            <w:tcW w:w="60" w:type="dxa"/>
            <w:tcBorders>
              <w:top w:val="single" w:sz="8" w:space="0" w:color="000000"/>
              <w:left w:val="nil"/>
              <w:bottom w:val="single" w:sz="8" w:space="0" w:color="000000"/>
              <w:right w:val="nil"/>
            </w:tcBorders>
            <w:tcMar>
              <w:top w:w="0" w:type="dxa"/>
              <w:left w:w="0" w:type="dxa"/>
              <w:bottom w:w="0" w:type="dxa"/>
              <w:right w:w="0" w:type="dxa"/>
            </w:tcMar>
            <w:vAlign w:val="bottom"/>
          </w:tcPr>
          <w:p w14:paraId="0CBA958A" w14:textId="77777777" w:rsidR="0008228C" w:rsidRDefault="0008228C"/>
        </w:tc>
        <w:tc>
          <w:tcPr>
            <w:tcW w:w="4035" w:type="dxa"/>
            <w:gridSpan w:val="5"/>
            <w:tcBorders>
              <w:top w:val="nil"/>
              <w:left w:val="nil"/>
              <w:bottom w:val="single" w:sz="8" w:space="0" w:color="000000"/>
              <w:right w:val="nil"/>
            </w:tcBorders>
            <w:tcMar>
              <w:top w:w="0" w:type="dxa"/>
              <w:left w:w="53" w:type="dxa"/>
              <w:bottom w:w="0" w:type="dxa"/>
              <w:right w:w="53" w:type="dxa"/>
            </w:tcMar>
            <w:vAlign w:val="center"/>
          </w:tcPr>
          <w:p w14:paraId="6D0790B1" w14:textId="77777777" w:rsidR="0008228C" w:rsidRDefault="00193375">
            <w:pPr>
              <w:spacing w:line="269" w:lineRule="auto"/>
              <w:jc w:val="center"/>
            </w:pPr>
            <w:r>
              <w:rPr>
                <w:b/>
                <w:color w:val="000000"/>
                <w:sz w:val="16"/>
              </w:rPr>
              <w:t>December 31, 2021</w:t>
            </w:r>
          </w:p>
        </w:tc>
      </w:tr>
      <w:tr w:rsidR="0008228C" w14:paraId="0BB0CC54" w14:textId="77777777">
        <w:trPr>
          <w:cantSplit/>
          <w:trHeight w:hRule="exact" w:val="240"/>
        </w:trPr>
        <w:tc>
          <w:tcPr>
            <w:tcW w:w="2670" w:type="dxa"/>
            <w:tcBorders>
              <w:top w:val="nil"/>
              <w:left w:val="nil"/>
              <w:bottom w:val="nil"/>
              <w:right w:val="nil"/>
            </w:tcBorders>
            <w:tcMar>
              <w:top w:w="0" w:type="dxa"/>
              <w:left w:w="0" w:type="dxa"/>
              <w:bottom w:w="0" w:type="dxa"/>
              <w:right w:w="0" w:type="dxa"/>
            </w:tcMar>
            <w:vAlign w:val="bottom"/>
          </w:tcPr>
          <w:p w14:paraId="764108F3" w14:textId="77777777" w:rsidR="0008228C" w:rsidRDefault="0008228C"/>
        </w:tc>
        <w:tc>
          <w:tcPr>
            <w:tcW w:w="1305" w:type="dxa"/>
            <w:tcBorders>
              <w:top w:val="nil"/>
              <w:left w:val="nil"/>
              <w:bottom w:val="single" w:sz="8" w:space="0" w:color="000000"/>
              <w:right w:val="nil"/>
            </w:tcBorders>
            <w:tcMar>
              <w:top w:w="0" w:type="dxa"/>
              <w:left w:w="53" w:type="dxa"/>
              <w:bottom w:w="0" w:type="dxa"/>
              <w:right w:w="53" w:type="dxa"/>
            </w:tcMar>
            <w:vAlign w:val="center"/>
          </w:tcPr>
          <w:p w14:paraId="38014E82" w14:textId="77777777" w:rsidR="0008228C" w:rsidRDefault="00193375">
            <w:pPr>
              <w:spacing w:line="269" w:lineRule="auto"/>
              <w:jc w:val="center"/>
            </w:pPr>
            <w:r>
              <w:rPr>
                <w:b/>
                <w:color w:val="000000"/>
                <w:sz w:val="16"/>
              </w:rPr>
              <w:t>Average Balance</w:t>
            </w:r>
          </w:p>
        </w:tc>
        <w:tc>
          <w:tcPr>
            <w:tcW w:w="60" w:type="dxa"/>
            <w:tcBorders>
              <w:top w:val="single" w:sz="8" w:space="0" w:color="000000"/>
              <w:left w:val="nil"/>
              <w:bottom w:val="single" w:sz="8" w:space="0" w:color="000000"/>
              <w:right w:val="nil"/>
            </w:tcBorders>
            <w:tcMar>
              <w:top w:w="0" w:type="dxa"/>
              <w:left w:w="0" w:type="dxa"/>
              <w:bottom w:w="0" w:type="dxa"/>
              <w:right w:w="0" w:type="dxa"/>
            </w:tcMar>
            <w:vAlign w:val="bottom"/>
          </w:tcPr>
          <w:p w14:paraId="252DB15D" w14:textId="77777777" w:rsidR="0008228C" w:rsidRDefault="0008228C"/>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center"/>
          </w:tcPr>
          <w:p w14:paraId="64F9F1FB" w14:textId="77777777" w:rsidR="0008228C" w:rsidRDefault="00193375">
            <w:pPr>
              <w:spacing w:line="269" w:lineRule="auto"/>
              <w:jc w:val="center"/>
            </w:pPr>
            <w:r>
              <w:rPr>
                <w:b/>
                <w:color w:val="000000"/>
                <w:sz w:val="16"/>
              </w:rPr>
              <w:t>Income/Expense</w:t>
            </w:r>
          </w:p>
        </w:tc>
        <w:tc>
          <w:tcPr>
            <w:tcW w:w="60" w:type="dxa"/>
            <w:tcBorders>
              <w:top w:val="single" w:sz="8" w:space="0" w:color="000000"/>
              <w:left w:val="nil"/>
              <w:bottom w:val="single" w:sz="8" w:space="0" w:color="000000"/>
              <w:right w:val="nil"/>
            </w:tcBorders>
            <w:tcMar>
              <w:top w:w="0" w:type="dxa"/>
              <w:left w:w="0" w:type="dxa"/>
              <w:bottom w:w="0" w:type="dxa"/>
              <w:right w:w="0" w:type="dxa"/>
            </w:tcMar>
            <w:vAlign w:val="bottom"/>
          </w:tcPr>
          <w:p w14:paraId="63C52909" w14:textId="77777777" w:rsidR="0008228C" w:rsidRDefault="0008228C"/>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center"/>
          </w:tcPr>
          <w:p w14:paraId="1DC42BF8" w14:textId="77777777" w:rsidR="0008228C" w:rsidRDefault="00193375">
            <w:pPr>
              <w:spacing w:line="269" w:lineRule="auto"/>
              <w:jc w:val="center"/>
            </w:pPr>
            <w:r>
              <w:rPr>
                <w:b/>
                <w:color w:val="000000"/>
                <w:sz w:val="16"/>
              </w:rPr>
              <w:t>Yield/Cost</w:t>
            </w:r>
          </w:p>
        </w:tc>
        <w:tc>
          <w:tcPr>
            <w:tcW w:w="60" w:type="dxa"/>
            <w:tcBorders>
              <w:top w:val="single" w:sz="8" w:space="0" w:color="000000"/>
              <w:left w:val="nil"/>
              <w:bottom w:val="single" w:sz="8" w:space="0" w:color="000000"/>
              <w:right w:val="nil"/>
            </w:tcBorders>
            <w:tcMar>
              <w:top w:w="0" w:type="dxa"/>
              <w:left w:w="0" w:type="dxa"/>
              <w:bottom w:w="0" w:type="dxa"/>
              <w:right w:w="0" w:type="dxa"/>
            </w:tcMar>
            <w:vAlign w:val="bottom"/>
          </w:tcPr>
          <w:p w14:paraId="09D77993" w14:textId="77777777" w:rsidR="0008228C" w:rsidRDefault="0008228C"/>
        </w:tc>
        <w:tc>
          <w:tcPr>
            <w:tcW w:w="1305" w:type="dxa"/>
            <w:tcBorders>
              <w:top w:val="nil"/>
              <w:left w:val="nil"/>
              <w:bottom w:val="single" w:sz="8" w:space="0" w:color="000000"/>
              <w:right w:val="nil"/>
            </w:tcBorders>
            <w:tcMar>
              <w:top w:w="0" w:type="dxa"/>
              <w:left w:w="53" w:type="dxa"/>
              <w:bottom w:w="0" w:type="dxa"/>
              <w:right w:w="53" w:type="dxa"/>
            </w:tcMar>
            <w:vAlign w:val="center"/>
          </w:tcPr>
          <w:p w14:paraId="2A5FC3E3" w14:textId="77777777" w:rsidR="0008228C" w:rsidRDefault="00193375">
            <w:pPr>
              <w:spacing w:line="269" w:lineRule="auto"/>
              <w:jc w:val="center"/>
            </w:pPr>
            <w:r>
              <w:rPr>
                <w:b/>
                <w:color w:val="000000"/>
                <w:sz w:val="16"/>
              </w:rPr>
              <w:t>Average Balance</w:t>
            </w:r>
          </w:p>
        </w:tc>
        <w:tc>
          <w:tcPr>
            <w:tcW w:w="60" w:type="dxa"/>
            <w:tcBorders>
              <w:top w:val="single" w:sz="8" w:space="0" w:color="000000"/>
              <w:left w:val="nil"/>
              <w:bottom w:val="single" w:sz="8" w:space="0" w:color="000000"/>
              <w:right w:val="nil"/>
            </w:tcBorders>
            <w:tcMar>
              <w:top w:w="0" w:type="dxa"/>
              <w:left w:w="0" w:type="dxa"/>
              <w:bottom w:w="0" w:type="dxa"/>
              <w:right w:w="0" w:type="dxa"/>
            </w:tcMar>
            <w:vAlign w:val="bottom"/>
          </w:tcPr>
          <w:p w14:paraId="36EA99E2" w14:textId="77777777" w:rsidR="0008228C" w:rsidRDefault="0008228C"/>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center"/>
          </w:tcPr>
          <w:p w14:paraId="611E3257" w14:textId="77777777" w:rsidR="0008228C" w:rsidRDefault="00193375">
            <w:pPr>
              <w:spacing w:line="269" w:lineRule="auto"/>
              <w:jc w:val="center"/>
            </w:pPr>
            <w:r>
              <w:rPr>
                <w:b/>
                <w:color w:val="000000"/>
                <w:sz w:val="16"/>
              </w:rPr>
              <w:t>Income/Expense</w:t>
            </w:r>
          </w:p>
        </w:tc>
        <w:tc>
          <w:tcPr>
            <w:tcW w:w="60" w:type="dxa"/>
            <w:tcBorders>
              <w:top w:val="single" w:sz="8" w:space="0" w:color="000000"/>
              <w:left w:val="nil"/>
              <w:bottom w:val="single" w:sz="8" w:space="0" w:color="000000"/>
              <w:right w:val="nil"/>
            </w:tcBorders>
            <w:tcMar>
              <w:top w:w="0" w:type="dxa"/>
              <w:left w:w="0" w:type="dxa"/>
              <w:bottom w:w="0" w:type="dxa"/>
              <w:right w:w="0" w:type="dxa"/>
            </w:tcMar>
            <w:vAlign w:val="bottom"/>
          </w:tcPr>
          <w:p w14:paraId="5E7E1922" w14:textId="77777777" w:rsidR="0008228C" w:rsidRDefault="0008228C"/>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center"/>
          </w:tcPr>
          <w:p w14:paraId="26970BEA" w14:textId="77777777" w:rsidR="0008228C" w:rsidRDefault="00193375">
            <w:pPr>
              <w:spacing w:line="269" w:lineRule="auto"/>
              <w:jc w:val="center"/>
            </w:pPr>
            <w:r>
              <w:rPr>
                <w:b/>
                <w:color w:val="000000"/>
                <w:sz w:val="16"/>
              </w:rPr>
              <w:t>Yield/Cost</w:t>
            </w:r>
          </w:p>
        </w:tc>
      </w:tr>
      <w:tr w:rsidR="0008228C" w14:paraId="1DBAE4F3"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189B6E76" w14:textId="77777777" w:rsidR="0008228C" w:rsidRDefault="00193375">
            <w:pPr>
              <w:spacing w:line="269" w:lineRule="auto"/>
            </w:pPr>
            <w:r>
              <w:rPr>
                <w:b/>
                <w:color w:val="000000"/>
                <w:sz w:val="16"/>
              </w:rPr>
              <w:t>Assets</w:t>
            </w:r>
          </w:p>
        </w:tc>
        <w:tc>
          <w:tcPr>
            <w:tcW w:w="8130" w:type="dxa"/>
            <w:gridSpan w:val="11"/>
            <w:tcBorders>
              <w:top w:val="nil"/>
              <w:left w:val="nil"/>
              <w:bottom w:val="nil"/>
              <w:right w:val="nil"/>
            </w:tcBorders>
            <w:tcMar>
              <w:top w:w="0" w:type="dxa"/>
              <w:left w:w="53" w:type="dxa"/>
              <w:bottom w:w="0" w:type="dxa"/>
              <w:right w:w="53" w:type="dxa"/>
            </w:tcMar>
            <w:vAlign w:val="bottom"/>
          </w:tcPr>
          <w:p w14:paraId="1DE96455" w14:textId="77777777" w:rsidR="0008228C" w:rsidRDefault="00193375">
            <w:pPr>
              <w:spacing w:before="33" w:after="30" w:line="300" w:lineRule="auto"/>
              <w:jc w:val="center"/>
            </w:pPr>
            <w:r>
              <w:rPr>
                <w:color w:val="000000"/>
                <w:sz w:val="16"/>
              </w:rPr>
              <w:t>($ in thousands)</w:t>
            </w:r>
          </w:p>
        </w:tc>
      </w:tr>
      <w:tr w:rsidR="0008228C" w14:paraId="1DBED7D5"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25EE107A" w14:textId="77777777" w:rsidR="0008228C" w:rsidRDefault="00193375">
            <w:pPr>
              <w:spacing w:line="269" w:lineRule="auto"/>
            </w:pPr>
            <w:r>
              <w:rPr>
                <w:b/>
                <w:i/>
                <w:color w:val="000000"/>
                <w:sz w:val="16"/>
              </w:rPr>
              <w:t>Interest-earning assets:</w:t>
            </w:r>
          </w:p>
        </w:tc>
        <w:tc>
          <w:tcPr>
            <w:tcW w:w="1305" w:type="dxa"/>
            <w:tcBorders>
              <w:top w:val="nil"/>
              <w:left w:val="nil"/>
              <w:bottom w:val="nil"/>
              <w:right w:val="nil"/>
            </w:tcBorders>
            <w:tcMar>
              <w:top w:w="0" w:type="dxa"/>
              <w:left w:w="0" w:type="dxa"/>
              <w:bottom w:w="0" w:type="dxa"/>
              <w:right w:w="0" w:type="dxa"/>
            </w:tcMar>
            <w:vAlign w:val="bottom"/>
          </w:tcPr>
          <w:p w14:paraId="38FAD5C3"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9E77196"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0EFD2F82"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214418E"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7E23A851"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8FD336C"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64AA83C9"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C8E8FC8"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042EDCBA"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4D682CC"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04647A92" w14:textId="77777777" w:rsidR="0008228C" w:rsidRDefault="0008228C"/>
        </w:tc>
      </w:tr>
      <w:tr w:rsidR="0008228C" w14:paraId="59BB1150"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3D6AC0F9" w14:textId="77777777" w:rsidR="0008228C" w:rsidRDefault="00193375">
            <w:pPr>
              <w:spacing w:line="269" w:lineRule="auto"/>
            </w:pPr>
            <w:r>
              <w:rPr>
                <w:color w:val="000000"/>
                <w:sz w:val="16"/>
              </w:rPr>
              <w:t>Total loans-non-PPP</w:t>
            </w:r>
          </w:p>
        </w:tc>
        <w:tc>
          <w:tcPr>
            <w:tcW w:w="1305" w:type="dxa"/>
            <w:tcBorders>
              <w:top w:val="nil"/>
              <w:left w:val="nil"/>
              <w:bottom w:val="nil"/>
              <w:right w:val="nil"/>
            </w:tcBorders>
            <w:tcMar>
              <w:top w:w="0" w:type="dxa"/>
              <w:left w:w="0" w:type="dxa"/>
              <w:bottom w:w="0" w:type="dxa"/>
              <w:right w:w="15" w:type="dxa"/>
            </w:tcMar>
            <w:vAlign w:val="bottom"/>
          </w:tcPr>
          <w:p w14:paraId="4379EBF2" w14:textId="77777777" w:rsidR="0008228C" w:rsidRDefault="00193375">
            <w:pPr>
              <w:tabs>
                <w:tab w:val="left" w:pos="546"/>
                <w:tab w:val="left" w:pos="1237"/>
              </w:tabs>
              <w:spacing w:before="53" w:after="30" w:line="300" w:lineRule="auto"/>
              <w:jc w:val="right"/>
            </w:pPr>
            <w:r>
              <w:rPr>
                <w:color w:val="000000"/>
                <w:sz w:val="16"/>
              </w:rPr>
              <w:t>$</w:t>
            </w:r>
            <w:r>
              <w:rPr>
                <w:color w:val="000000"/>
                <w:sz w:val="16"/>
              </w:rPr>
              <w:tab/>
              <w:t>1,496,375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75D7470"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1748B825" w14:textId="77777777" w:rsidR="0008228C" w:rsidRDefault="00193375">
            <w:pPr>
              <w:tabs>
                <w:tab w:val="left" w:pos="612"/>
                <w:tab w:val="left" w:pos="1237"/>
              </w:tabs>
              <w:spacing w:before="53" w:after="30" w:line="300" w:lineRule="auto"/>
              <w:jc w:val="right"/>
            </w:pPr>
            <w:r>
              <w:rPr>
                <w:color w:val="000000"/>
                <w:sz w:val="16"/>
              </w:rPr>
              <w:t>$</w:t>
            </w:r>
            <w:r>
              <w:rPr>
                <w:color w:val="000000"/>
                <w:sz w:val="16"/>
              </w:rPr>
              <w:tab/>
              <w:t>16,409</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5BCD138B"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6573ACDC" w14:textId="77777777" w:rsidR="0008228C" w:rsidRDefault="00193375">
            <w:pPr>
              <w:tabs>
                <w:tab w:val="left" w:pos="1"/>
                <w:tab w:val="left" w:pos="336"/>
              </w:tabs>
              <w:spacing w:before="53" w:after="30" w:line="300" w:lineRule="auto"/>
              <w:jc w:val="right"/>
            </w:pPr>
            <w:r>
              <w:rPr>
                <w:color w:val="000000"/>
                <w:sz w:val="16"/>
              </w:rPr>
              <w:tab/>
              <w:t>4.45</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center"/>
          </w:tcPr>
          <w:p w14:paraId="21BB6D4F" w14:textId="77777777" w:rsidR="0008228C" w:rsidRDefault="0008228C">
            <w:pPr>
              <w:spacing w:line="269"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2E5D2D11" w14:textId="77777777" w:rsidR="0008228C" w:rsidRDefault="00193375">
            <w:pPr>
              <w:tabs>
                <w:tab w:val="left" w:pos="546"/>
                <w:tab w:val="left" w:pos="1237"/>
              </w:tabs>
              <w:spacing w:before="53" w:after="30" w:line="300" w:lineRule="auto"/>
              <w:jc w:val="right"/>
            </w:pPr>
            <w:r>
              <w:rPr>
                <w:color w:val="000000"/>
                <w:sz w:val="16"/>
              </w:rPr>
              <w:t>$</w:t>
            </w:r>
            <w:r>
              <w:rPr>
                <w:color w:val="000000"/>
                <w:sz w:val="16"/>
              </w:rPr>
              <w:tab/>
              <w:t>1,366,240</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4796B5F3"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7BCEFDC5" w14:textId="77777777" w:rsidR="0008228C" w:rsidRDefault="00193375">
            <w:pPr>
              <w:tabs>
                <w:tab w:val="left" w:pos="612"/>
                <w:tab w:val="left" w:pos="1237"/>
              </w:tabs>
              <w:spacing w:before="53" w:after="30" w:line="300" w:lineRule="auto"/>
              <w:jc w:val="right"/>
            </w:pPr>
            <w:r>
              <w:rPr>
                <w:color w:val="000000"/>
                <w:sz w:val="16"/>
              </w:rPr>
              <w:t>$</w:t>
            </w:r>
            <w:r>
              <w:rPr>
                <w:color w:val="000000"/>
                <w:sz w:val="16"/>
              </w:rPr>
              <w:tab/>
              <w:t>15,772</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4EEA6E3E"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12942E26" w14:textId="77777777" w:rsidR="0008228C" w:rsidRDefault="00193375">
            <w:pPr>
              <w:tabs>
                <w:tab w:val="left" w:pos="1"/>
                <w:tab w:val="left" w:pos="336"/>
              </w:tabs>
              <w:spacing w:before="53" w:after="30" w:line="300" w:lineRule="auto"/>
              <w:jc w:val="right"/>
            </w:pPr>
            <w:r>
              <w:rPr>
                <w:color w:val="000000"/>
                <w:sz w:val="16"/>
              </w:rPr>
              <w:tab/>
              <w:t>4.58</w:t>
            </w:r>
            <w:r>
              <w:rPr>
                <w:color w:val="000000"/>
                <w:sz w:val="16"/>
              </w:rPr>
              <w:tab/>
              <w:t>%</w:t>
            </w:r>
          </w:p>
        </w:tc>
      </w:tr>
      <w:tr w:rsidR="0008228C" w14:paraId="1F75AB40"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78941C06" w14:textId="77777777" w:rsidR="0008228C" w:rsidRDefault="00193375">
            <w:pPr>
              <w:spacing w:line="269" w:lineRule="auto"/>
            </w:pPr>
            <w:r>
              <w:rPr>
                <w:color w:val="000000"/>
                <w:sz w:val="16"/>
              </w:rPr>
              <w:t>Total loans-PPP</w:t>
            </w:r>
          </w:p>
        </w:tc>
        <w:tc>
          <w:tcPr>
            <w:tcW w:w="1305" w:type="dxa"/>
            <w:tcBorders>
              <w:top w:val="nil"/>
              <w:left w:val="nil"/>
              <w:bottom w:val="single" w:sz="8" w:space="0" w:color="000000"/>
              <w:right w:val="nil"/>
            </w:tcBorders>
            <w:tcMar>
              <w:top w:w="0" w:type="dxa"/>
              <w:left w:w="0" w:type="dxa"/>
              <w:bottom w:w="0" w:type="dxa"/>
              <w:right w:w="15" w:type="dxa"/>
            </w:tcMar>
            <w:vAlign w:val="bottom"/>
          </w:tcPr>
          <w:p w14:paraId="65041CF2" w14:textId="77777777" w:rsidR="0008228C" w:rsidRDefault="00193375">
            <w:pPr>
              <w:tabs>
                <w:tab w:val="left" w:pos="746"/>
                <w:tab w:val="left" w:pos="1237"/>
              </w:tabs>
              <w:spacing w:before="53" w:after="30" w:line="300" w:lineRule="auto"/>
              <w:jc w:val="right"/>
            </w:pPr>
            <w:r>
              <w:rPr>
                <w:color w:val="000000"/>
                <w:sz w:val="16"/>
              </w:rPr>
              <w:tab/>
              <w:t>34,867</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9D75909"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057FA868" w14:textId="77777777" w:rsidR="0008228C" w:rsidRDefault="00193375">
            <w:pPr>
              <w:tabs>
                <w:tab w:val="left" w:pos="692"/>
                <w:tab w:val="left" w:pos="1237"/>
              </w:tabs>
              <w:spacing w:before="53" w:after="30" w:line="300" w:lineRule="auto"/>
              <w:jc w:val="right"/>
            </w:pPr>
            <w:r>
              <w:rPr>
                <w:color w:val="000000"/>
                <w:sz w:val="16"/>
              </w:rPr>
              <w:tab/>
              <w:t>1,322</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0D6C541C"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0FE35DBD" w14:textId="77777777" w:rsidR="0008228C" w:rsidRDefault="00193375">
            <w:pPr>
              <w:tabs>
                <w:tab w:val="left" w:pos="1"/>
                <w:tab w:val="left" w:pos="416"/>
              </w:tabs>
              <w:spacing w:before="53" w:after="30" w:line="300" w:lineRule="auto"/>
              <w:jc w:val="right"/>
            </w:pPr>
            <w:r>
              <w:rPr>
                <w:color w:val="000000"/>
                <w:sz w:val="16"/>
              </w:rPr>
              <w:tab/>
              <w:t>15.38</w:t>
            </w:r>
            <w:r>
              <w:rPr>
                <w:color w:val="000000"/>
                <w:sz w:val="16"/>
              </w:rPr>
              <w:tab/>
              <w:t>%</w:t>
            </w:r>
          </w:p>
        </w:tc>
        <w:tc>
          <w:tcPr>
            <w:tcW w:w="60" w:type="dxa"/>
            <w:tcBorders>
              <w:top w:val="nil"/>
              <w:left w:val="nil"/>
              <w:bottom w:val="single" w:sz="8" w:space="0" w:color="000000"/>
              <w:right w:val="nil"/>
            </w:tcBorders>
            <w:tcMar>
              <w:top w:w="0" w:type="dxa"/>
              <w:left w:w="0" w:type="dxa"/>
              <w:bottom w:w="0" w:type="dxa"/>
              <w:right w:w="53" w:type="dxa"/>
            </w:tcMar>
            <w:vAlign w:val="center"/>
          </w:tcPr>
          <w:p w14:paraId="208FCB8B" w14:textId="77777777" w:rsidR="0008228C" w:rsidRDefault="0008228C">
            <w:pPr>
              <w:spacing w:line="269"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47804998" w14:textId="77777777" w:rsidR="0008228C" w:rsidRDefault="00193375">
            <w:pPr>
              <w:tabs>
                <w:tab w:val="left" w:pos="666"/>
                <w:tab w:val="left" w:pos="1237"/>
              </w:tabs>
              <w:spacing w:before="53" w:after="30" w:line="300" w:lineRule="auto"/>
              <w:jc w:val="right"/>
            </w:pPr>
            <w:r>
              <w:rPr>
                <w:color w:val="000000"/>
                <w:sz w:val="16"/>
              </w:rPr>
              <w:tab/>
              <w:t>120,481</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F942B9B"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1259958E" w14:textId="77777777" w:rsidR="0008228C" w:rsidRDefault="00193375">
            <w:pPr>
              <w:tabs>
                <w:tab w:val="left" w:pos="692"/>
                <w:tab w:val="left" w:pos="1237"/>
              </w:tabs>
              <w:spacing w:before="53" w:after="30" w:line="300" w:lineRule="auto"/>
              <w:jc w:val="right"/>
            </w:pPr>
            <w:r>
              <w:rPr>
                <w:color w:val="000000"/>
                <w:sz w:val="16"/>
              </w:rPr>
              <w:tab/>
              <w:t>4,796</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11CB1D90"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3839E0E6" w14:textId="77777777" w:rsidR="0008228C" w:rsidRDefault="00193375">
            <w:pPr>
              <w:tabs>
                <w:tab w:val="left" w:pos="1"/>
                <w:tab w:val="left" w:pos="416"/>
              </w:tabs>
              <w:spacing w:before="53" w:after="30" w:line="300" w:lineRule="auto"/>
              <w:jc w:val="right"/>
            </w:pPr>
            <w:r>
              <w:rPr>
                <w:color w:val="000000"/>
                <w:sz w:val="16"/>
              </w:rPr>
              <w:tab/>
              <w:t>15.79</w:t>
            </w:r>
            <w:r>
              <w:rPr>
                <w:color w:val="000000"/>
                <w:sz w:val="16"/>
              </w:rPr>
              <w:tab/>
              <w:t>%</w:t>
            </w:r>
          </w:p>
        </w:tc>
      </w:tr>
      <w:tr w:rsidR="0008228C" w14:paraId="54549F55"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00378BF9" w14:textId="77777777" w:rsidR="0008228C" w:rsidRDefault="00193375">
            <w:pPr>
              <w:spacing w:line="269" w:lineRule="auto"/>
            </w:pPr>
            <w:r>
              <w:rPr>
                <w:color w:val="000000"/>
                <w:sz w:val="16"/>
              </w:rPr>
              <w:t>Total loans</w:t>
            </w:r>
          </w:p>
        </w:tc>
        <w:tc>
          <w:tcPr>
            <w:tcW w:w="1305" w:type="dxa"/>
            <w:tcBorders>
              <w:top w:val="single" w:sz="8" w:space="0" w:color="000000"/>
              <w:left w:val="nil"/>
              <w:bottom w:val="nil"/>
              <w:right w:val="nil"/>
            </w:tcBorders>
            <w:tcMar>
              <w:top w:w="0" w:type="dxa"/>
              <w:left w:w="0" w:type="dxa"/>
              <w:bottom w:w="0" w:type="dxa"/>
              <w:right w:w="15" w:type="dxa"/>
            </w:tcMar>
            <w:vAlign w:val="bottom"/>
          </w:tcPr>
          <w:p w14:paraId="6E017B23" w14:textId="77777777" w:rsidR="0008228C" w:rsidRDefault="00193375">
            <w:pPr>
              <w:tabs>
                <w:tab w:val="left" w:pos="546"/>
                <w:tab w:val="left" w:pos="1237"/>
              </w:tabs>
              <w:spacing w:before="33" w:after="30" w:line="300" w:lineRule="auto"/>
              <w:jc w:val="right"/>
            </w:pPr>
            <w:r>
              <w:rPr>
                <w:color w:val="000000"/>
                <w:sz w:val="16"/>
              </w:rPr>
              <w:tab/>
              <w:t>1,531,242</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49DDE9F2"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6164D748" w14:textId="77777777" w:rsidR="0008228C" w:rsidRDefault="00193375">
            <w:pPr>
              <w:tabs>
                <w:tab w:val="left" w:pos="612"/>
                <w:tab w:val="left" w:pos="1237"/>
              </w:tabs>
              <w:spacing w:before="33" w:after="30" w:line="300" w:lineRule="auto"/>
              <w:jc w:val="right"/>
            </w:pPr>
            <w:r>
              <w:rPr>
                <w:color w:val="000000"/>
                <w:sz w:val="16"/>
              </w:rPr>
              <w:tab/>
              <w:t>17,731</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74A3D459"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4C164973" w14:textId="77777777" w:rsidR="0008228C" w:rsidRDefault="00193375">
            <w:pPr>
              <w:tabs>
                <w:tab w:val="left" w:pos="1"/>
                <w:tab w:val="left" w:pos="336"/>
              </w:tabs>
              <w:spacing w:before="33" w:after="30" w:line="300" w:lineRule="auto"/>
              <w:jc w:val="right"/>
            </w:pPr>
            <w:r>
              <w:rPr>
                <w:color w:val="000000"/>
                <w:sz w:val="16"/>
              </w:rPr>
              <w:tab/>
              <w:t>4.70</w:t>
            </w:r>
            <w:r>
              <w:rPr>
                <w:color w:val="000000"/>
                <w:sz w:val="16"/>
              </w:rPr>
              <w:tab/>
              <w:t>%</w:t>
            </w:r>
          </w:p>
        </w:tc>
        <w:tc>
          <w:tcPr>
            <w:tcW w:w="60" w:type="dxa"/>
            <w:tcBorders>
              <w:top w:val="single" w:sz="8" w:space="0" w:color="000000"/>
              <w:left w:val="nil"/>
              <w:bottom w:val="nil"/>
              <w:right w:val="nil"/>
            </w:tcBorders>
            <w:tcMar>
              <w:top w:w="0" w:type="dxa"/>
              <w:left w:w="0" w:type="dxa"/>
              <w:bottom w:w="0" w:type="dxa"/>
              <w:right w:w="53" w:type="dxa"/>
            </w:tcMar>
            <w:vAlign w:val="center"/>
          </w:tcPr>
          <w:p w14:paraId="0E0CA902" w14:textId="77777777" w:rsidR="0008228C" w:rsidRDefault="0008228C">
            <w:pPr>
              <w:spacing w:line="269"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16BC583E" w14:textId="77777777" w:rsidR="0008228C" w:rsidRDefault="00193375">
            <w:pPr>
              <w:tabs>
                <w:tab w:val="left" w:pos="546"/>
                <w:tab w:val="left" w:pos="1237"/>
              </w:tabs>
              <w:spacing w:before="33" w:after="30" w:line="300" w:lineRule="auto"/>
              <w:jc w:val="right"/>
            </w:pPr>
            <w:r>
              <w:rPr>
                <w:color w:val="000000"/>
                <w:sz w:val="16"/>
              </w:rPr>
              <w:tab/>
              <w:t>1,486,721</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29203EF"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46ADD79E" w14:textId="77777777" w:rsidR="0008228C" w:rsidRDefault="00193375">
            <w:pPr>
              <w:tabs>
                <w:tab w:val="left" w:pos="612"/>
                <w:tab w:val="left" w:pos="1237"/>
              </w:tabs>
              <w:spacing w:before="33" w:after="30" w:line="300" w:lineRule="auto"/>
              <w:jc w:val="right"/>
            </w:pPr>
            <w:r>
              <w:rPr>
                <w:color w:val="000000"/>
                <w:sz w:val="16"/>
              </w:rPr>
              <w:tab/>
              <w:t>20,568</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1635A28A"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22A94F51" w14:textId="77777777" w:rsidR="0008228C" w:rsidRDefault="00193375">
            <w:pPr>
              <w:tabs>
                <w:tab w:val="left" w:pos="1"/>
                <w:tab w:val="left" w:pos="336"/>
              </w:tabs>
              <w:spacing w:before="33" w:after="30" w:line="300" w:lineRule="auto"/>
              <w:jc w:val="right"/>
            </w:pPr>
            <w:r>
              <w:rPr>
                <w:color w:val="000000"/>
                <w:sz w:val="16"/>
              </w:rPr>
              <w:tab/>
              <w:t>5.49</w:t>
            </w:r>
            <w:r>
              <w:rPr>
                <w:color w:val="000000"/>
                <w:sz w:val="16"/>
              </w:rPr>
              <w:tab/>
              <w:t>%</w:t>
            </w:r>
          </w:p>
        </w:tc>
      </w:tr>
      <w:tr w:rsidR="0008228C" w14:paraId="79F45E4A"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4D714F9A" w14:textId="77777777" w:rsidR="0008228C" w:rsidRDefault="00193375">
            <w:pPr>
              <w:spacing w:line="269" w:lineRule="auto"/>
            </w:pPr>
            <w:r>
              <w:rPr>
                <w:color w:val="000000"/>
                <w:sz w:val="16"/>
              </w:rPr>
              <w:t>Debt securities</w:t>
            </w:r>
          </w:p>
        </w:tc>
        <w:tc>
          <w:tcPr>
            <w:tcW w:w="1305" w:type="dxa"/>
            <w:tcBorders>
              <w:top w:val="nil"/>
              <w:left w:val="nil"/>
              <w:bottom w:val="nil"/>
              <w:right w:val="nil"/>
            </w:tcBorders>
            <w:tcMar>
              <w:top w:w="0" w:type="dxa"/>
              <w:left w:w="0" w:type="dxa"/>
              <w:bottom w:w="0" w:type="dxa"/>
              <w:right w:w="15" w:type="dxa"/>
            </w:tcMar>
            <w:vAlign w:val="bottom"/>
          </w:tcPr>
          <w:p w14:paraId="0F07AAFA" w14:textId="77777777" w:rsidR="0008228C" w:rsidRDefault="00193375">
            <w:pPr>
              <w:tabs>
                <w:tab w:val="left" w:pos="746"/>
                <w:tab w:val="left" w:pos="1237"/>
              </w:tabs>
              <w:spacing w:before="53" w:after="30" w:line="300" w:lineRule="auto"/>
              <w:jc w:val="right"/>
            </w:pPr>
            <w:r>
              <w:rPr>
                <w:color w:val="000000"/>
                <w:sz w:val="16"/>
              </w:rPr>
              <w:tab/>
              <w:t>87,472</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436FF1B"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CE570D2" w14:textId="77777777" w:rsidR="0008228C" w:rsidRDefault="00193375">
            <w:pPr>
              <w:tabs>
                <w:tab w:val="left" w:pos="812"/>
                <w:tab w:val="left" w:pos="1237"/>
              </w:tabs>
              <w:spacing w:before="53" w:after="30" w:line="300" w:lineRule="auto"/>
              <w:jc w:val="right"/>
            </w:pPr>
            <w:r>
              <w:rPr>
                <w:color w:val="000000"/>
                <w:sz w:val="16"/>
              </w:rPr>
              <w:tab/>
              <w:t>330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4926031A"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5251DBFA" w14:textId="77777777" w:rsidR="0008228C" w:rsidRDefault="00193375">
            <w:pPr>
              <w:tabs>
                <w:tab w:val="left" w:pos="1"/>
                <w:tab w:val="left" w:pos="336"/>
              </w:tabs>
              <w:spacing w:before="53" w:after="30" w:line="300" w:lineRule="auto"/>
              <w:jc w:val="right"/>
            </w:pPr>
            <w:r>
              <w:rPr>
                <w:color w:val="000000"/>
                <w:sz w:val="16"/>
              </w:rPr>
              <w:tab/>
              <w:t>1.53</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center"/>
          </w:tcPr>
          <w:p w14:paraId="2970F65D" w14:textId="77777777" w:rsidR="0008228C" w:rsidRDefault="0008228C">
            <w:pPr>
              <w:spacing w:line="269"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6DA820E1" w14:textId="77777777" w:rsidR="0008228C" w:rsidRDefault="00193375">
            <w:pPr>
              <w:tabs>
                <w:tab w:val="left" w:pos="746"/>
                <w:tab w:val="left" w:pos="1237"/>
              </w:tabs>
              <w:spacing w:before="53" w:after="30" w:line="300" w:lineRule="auto"/>
              <w:jc w:val="right"/>
            </w:pPr>
            <w:r>
              <w:rPr>
                <w:color w:val="000000"/>
                <w:sz w:val="16"/>
              </w:rPr>
              <w:tab/>
              <w:t>43,192</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602426F"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7FBB8F56" w14:textId="77777777" w:rsidR="0008228C" w:rsidRDefault="00193375">
            <w:pPr>
              <w:tabs>
                <w:tab w:val="left" w:pos="812"/>
                <w:tab w:val="left" w:pos="1237"/>
              </w:tabs>
              <w:spacing w:before="53" w:after="30" w:line="300" w:lineRule="auto"/>
              <w:jc w:val="right"/>
            </w:pPr>
            <w:r>
              <w:rPr>
                <w:color w:val="000000"/>
                <w:sz w:val="16"/>
              </w:rPr>
              <w:tab/>
              <w:t>139</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5976CF7A"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E025143" w14:textId="77777777" w:rsidR="0008228C" w:rsidRDefault="00193375">
            <w:pPr>
              <w:tabs>
                <w:tab w:val="left" w:pos="1"/>
                <w:tab w:val="left" w:pos="336"/>
              </w:tabs>
              <w:spacing w:before="53" w:after="30" w:line="300" w:lineRule="auto"/>
              <w:jc w:val="right"/>
            </w:pPr>
            <w:r>
              <w:rPr>
                <w:color w:val="000000"/>
                <w:sz w:val="16"/>
              </w:rPr>
              <w:tab/>
              <w:t>1.28</w:t>
            </w:r>
            <w:r>
              <w:rPr>
                <w:color w:val="000000"/>
                <w:sz w:val="16"/>
              </w:rPr>
              <w:tab/>
              <w:t>%</w:t>
            </w:r>
          </w:p>
        </w:tc>
      </w:tr>
      <w:tr w:rsidR="0008228C" w14:paraId="6A121966"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2ED22CC1" w14:textId="77777777" w:rsidR="0008228C" w:rsidRDefault="00193375">
            <w:pPr>
              <w:spacing w:line="269" w:lineRule="auto"/>
            </w:pPr>
            <w:r>
              <w:rPr>
                <w:color w:val="000000"/>
                <w:sz w:val="16"/>
              </w:rPr>
              <w:t>Deposits in other financial institutions</w:t>
            </w:r>
          </w:p>
        </w:tc>
        <w:tc>
          <w:tcPr>
            <w:tcW w:w="1305" w:type="dxa"/>
            <w:tcBorders>
              <w:top w:val="nil"/>
              <w:left w:val="nil"/>
              <w:bottom w:val="nil"/>
              <w:right w:val="nil"/>
            </w:tcBorders>
            <w:tcMar>
              <w:top w:w="0" w:type="dxa"/>
              <w:left w:w="0" w:type="dxa"/>
              <w:bottom w:w="0" w:type="dxa"/>
              <w:right w:w="15" w:type="dxa"/>
            </w:tcMar>
            <w:vAlign w:val="bottom"/>
          </w:tcPr>
          <w:p w14:paraId="500BA2EE" w14:textId="77777777" w:rsidR="0008228C" w:rsidRDefault="00193375">
            <w:pPr>
              <w:tabs>
                <w:tab w:val="left" w:pos="666"/>
                <w:tab w:val="left" w:pos="1237"/>
              </w:tabs>
              <w:spacing w:before="53" w:after="30" w:line="300" w:lineRule="auto"/>
              <w:jc w:val="right"/>
            </w:pPr>
            <w:r>
              <w:rPr>
                <w:color w:val="000000"/>
                <w:sz w:val="16"/>
              </w:rPr>
              <w:tab/>
              <w:t>463,977</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97674DA"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06DBAB9" w14:textId="77777777" w:rsidR="0008228C" w:rsidRDefault="00193375">
            <w:pPr>
              <w:tabs>
                <w:tab w:val="left" w:pos="812"/>
                <w:tab w:val="left" w:pos="1237"/>
              </w:tabs>
              <w:spacing w:before="53" w:after="30" w:line="300" w:lineRule="auto"/>
              <w:jc w:val="right"/>
            </w:pPr>
            <w:r>
              <w:rPr>
                <w:color w:val="000000"/>
                <w:sz w:val="16"/>
              </w:rPr>
              <w:tab/>
              <w:t>193</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0CA0F16D"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155A8824" w14:textId="77777777" w:rsidR="0008228C" w:rsidRDefault="00193375">
            <w:pPr>
              <w:tabs>
                <w:tab w:val="left" w:pos="1"/>
                <w:tab w:val="left" w:pos="336"/>
              </w:tabs>
              <w:spacing w:before="53" w:after="30" w:line="300" w:lineRule="auto"/>
              <w:jc w:val="right"/>
            </w:pPr>
            <w:r>
              <w:rPr>
                <w:color w:val="000000"/>
                <w:sz w:val="16"/>
              </w:rPr>
              <w:tab/>
              <w:t>0.17</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center"/>
          </w:tcPr>
          <w:p w14:paraId="4D258C21" w14:textId="77777777" w:rsidR="0008228C" w:rsidRDefault="0008228C">
            <w:pPr>
              <w:spacing w:line="269"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47DB547" w14:textId="77777777" w:rsidR="0008228C" w:rsidRDefault="00193375">
            <w:pPr>
              <w:tabs>
                <w:tab w:val="left" w:pos="666"/>
                <w:tab w:val="left" w:pos="1237"/>
              </w:tabs>
              <w:spacing w:before="53" w:after="30" w:line="300" w:lineRule="auto"/>
              <w:jc w:val="right"/>
            </w:pPr>
            <w:r>
              <w:rPr>
                <w:color w:val="000000"/>
                <w:sz w:val="16"/>
              </w:rPr>
              <w:tab/>
              <w:t>594,957</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5A03A83"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7EF185A2" w14:textId="77777777" w:rsidR="0008228C" w:rsidRDefault="00193375">
            <w:pPr>
              <w:tabs>
                <w:tab w:val="left" w:pos="812"/>
                <w:tab w:val="left" w:pos="1237"/>
              </w:tabs>
              <w:spacing w:before="53" w:after="30" w:line="300" w:lineRule="auto"/>
              <w:jc w:val="right"/>
            </w:pPr>
            <w:r>
              <w:rPr>
                <w:color w:val="000000"/>
                <w:sz w:val="16"/>
              </w:rPr>
              <w:tab/>
              <w:t>211</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12A09416"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55DC9C3" w14:textId="77777777" w:rsidR="0008228C" w:rsidRDefault="00193375">
            <w:pPr>
              <w:tabs>
                <w:tab w:val="left" w:pos="1"/>
                <w:tab w:val="left" w:pos="336"/>
              </w:tabs>
              <w:spacing w:before="53" w:after="30" w:line="300" w:lineRule="auto"/>
              <w:jc w:val="right"/>
            </w:pPr>
            <w:r>
              <w:rPr>
                <w:color w:val="000000"/>
                <w:sz w:val="16"/>
              </w:rPr>
              <w:tab/>
              <w:t>0.14</w:t>
            </w:r>
            <w:r>
              <w:rPr>
                <w:color w:val="000000"/>
                <w:sz w:val="16"/>
              </w:rPr>
              <w:tab/>
              <w:t>%</w:t>
            </w:r>
          </w:p>
        </w:tc>
      </w:tr>
      <w:tr w:rsidR="0008228C" w14:paraId="3CC11FA6"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53655CE8" w14:textId="77777777" w:rsidR="0008228C" w:rsidRDefault="00193375">
            <w:pPr>
              <w:spacing w:line="269" w:lineRule="auto"/>
            </w:pPr>
            <w:r>
              <w:rPr>
                <w:color w:val="000000"/>
                <w:sz w:val="16"/>
              </w:rPr>
              <w:t>Fed fund sold/resale agreements</w:t>
            </w:r>
          </w:p>
        </w:tc>
        <w:tc>
          <w:tcPr>
            <w:tcW w:w="1305" w:type="dxa"/>
            <w:tcBorders>
              <w:top w:val="nil"/>
              <w:left w:val="nil"/>
              <w:bottom w:val="nil"/>
              <w:right w:val="nil"/>
            </w:tcBorders>
            <w:tcMar>
              <w:top w:w="0" w:type="dxa"/>
              <w:left w:w="0" w:type="dxa"/>
              <w:bottom w:w="0" w:type="dxa"/>
              <w:right w:w="15" w:type="dxa"/>
            </w:tcMar>
            <w:vAlign w:val="bottom"/>
          </w:tcPr>
          <w:p w14:paraId="72AA1DF9" w14:textId="77777777" w:rsidR="0008228C" w:rsidRDefault="00193375">
            <w:pPr>
              <w:tabs>
                <w:tab w:val="left" w:pos="746"/>
                <w:tab w:val="left" w:pos="1237"/>
              </w:tabs>
              <w:spacing w:before="53" w:after="30" w:line="300" w:lineRule="auto"/>
              <w:jc w:val="right"/>
            </w:pPr>
            <w:r>
              <w:rPr>
                <w:color w:val="000000"/>
                <w:sz w:val="16"/>
              </w:rPr>
              <w:tab/>
              <w:t>23,822</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034CD6AB"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5D3FF51" w14:textId="77777777" w:rsidR="0008228C" w:rsidRDefault="00193375">
            <w:pPr>
              <w:tabs>
                <w:tab w:val="left" w:pos="892"/>
                <w:tab w:val="left" w:pos="1237"/>
              </w:tabs>
              <w:spacing w:before="53" w:after="30" w:line="300" w:lineRule="auto"/>
              <w:jc w:val="right"/>
            </w:pPr>
            <w:r>
              <w:rPr>
                <w:color w:val="000000"/>
                <w:sz w:val="16"/>
              </w:rPr>
              <w:tab/>
              <w:t>11</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20F68BD0"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2D5E7CAF" w14:textId="77777777" w:rsidR="0008228C" w:rsidRDefault="00193375">
            <w:pPr>
              <w:tabs>
                <w:tab w:val="left" w:pos="1"/>
                <w:tab w:val="left" w:pos="336"/>
              </w:tabs>
              <w:spacing w:before="53" w:after="30" w:line="300" w:lineRule="auto"/>
              <w:jc w:val="right"/>
            </w:pPr>
            <w:r>
              <w:rPr>
                <w:color w:val="000000"/>
                <w:sz w:val="16"/>
              </w:rPr>
              <w:tab/>
              <w:t>0.19</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center"/>
          </w:tcPr>
          <w:p w14:paraId="1CE2226A" w14:textId="77777777" w:rsidR="0008228C" w:rsidRDefault="0008228C">
            <w:pPr>
              <w:spacing w:line="269"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2A4EF202" w14:textId="77777777" w:rsidR="0008228C" w:rsidRDefault="00193375">
            <w:pPr>
              <w:tabs>
                <w:tab w:val="left" w:pos="746"/>
                <w:tab w:val="left" w:pos="1237"/>
              </w:tabs>
              <w:spacing w:before="53" w:after="30" w:line="300" w:lineRule="auto"/>
              <w:jc w:val="right"/>
            </w:pPr>
            <w:r>
              <w:rPr>
                <w:color w:val="000000"/>
                <w:sz w:val="16"/>
              </w:rPr>
              <w:tab/>
              <w:t>17,573</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1A704BA"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6F6D30C7" w14:textId="77777777" w:rsidR="0008228C" w:rsidRDefault="00193375">
            <w:pPr>
              <w:tabs>
                <w:tab w:val="left" w:pos="972"/>
                <w:tab w:val="left" w:pos="1237"/>
              </w:tabs>
              <w:spacing w:before="53" w:after="30" w:line="300" w:lineRule="auto"/>
              <w:jc w:val="right"/>
            </w:pPr>
            <w:r>
              <w:rPr>
                <w:color w:val="000000"/>
                <w:sz w:val="16"/>
              </w:rPr>
              <w:tab/>
              <w:t>6</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4AF540FF"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DCB5678" w14:textId="77777777" w:rsidR="0008228C" w:rsidRDefault="00193375">
            <w:pPr>
              <w:tabs>
                <w:tab w:val="left" w:pos="1"/>
                <w:tab w:val="left" w:pos="336"/>
              </w:tabs>
              <w:spacing w:before="53" w:after="30" w:line="300" w:lineRule="auto"/>
              <w:jc w:val="right"/>
            </w:pPr>
            <w:r>
              <w:rPr>
                <w:color w:val="000000"/>
                <w:sz w:val="16"/>
              </w:rPr>
              <w:tab/>
              <w:t>0.14</w:t>
            </w:r>
            <w:r>
              <w:rPr>
                <w:color w:val="000000"/>
                <w:sz w:val="16"/>
              </w:rPr>
              <w:tab/>
              <w:t>%</w:t>
            </w:r>
          </w:p>
        </w:tc>
      </w:tr>
      <w:tr w:rsidR="0008228C" w14:paraId="383843EC" w14:textId="77777777">
        <w:trPr>
          <w:cantSplit/>
          <w:trHeight w:hRule="exact" w:val="420"/>
        </w:trPr>
        <w:tc>
          <w:tcPr>
            <w:tcW w:w="2670" w:type="dxa"/>
            <w:tcBorders>
              <w:top w:val="nil"/>
              <w:left w:val="nil"/>
              <w:bottom w:val="nil"/>
              <w:right w:val="nil"/>
            </w:tcBorders>
            <w:tcMar>
              <w:top w:w="0" w:type="dxa"/>
              <w:left w:w="53" w:type="dxa"/>
              <w:bottom w:w="0" w:type="dxa"/>
              <w:right w:w="53" w:type="dxa"/>
            </w:tcMar>
            <w:vAlign w:val="center"/>
          </w:tcPr>
          <w:p w14:paraId="57E7E5EA" w14:textId="77777777" w:rsidR="0008228C" w:rsidRDefault="00193375">
            <w:pPr>
              <w:spacing w:line="269" w:lineRule="auto"/>
            </w:pPr>
            <w:r>
              <w:rPr>
                <w:color w:val="000000"/>
                <w:sz w:val="16"/>
              </w:rPr>
              <w:t>Restricted stock investments and other bank stock</w:t>
            </w:r>
          </w:p>
        </w:tc>
        <w:tc>
          <w:tcPr>
            <w:tcW w:w="1305" w:type="dxa"/>
            <w:tcBorders>
              <w:top w:val="nil"/>
              <w:left w:val="nil"/>
              <w:bottom w:val="single" w:sz="8" w:space="0" w:color="000000"/>
              <w:right w:val="nil"/>
            </w:tcBorders>
            <w:tcMar>
              <w:top w:w="0" w:type="dxa"/>
              <w:left w:w="0" w:type="dxa"/>
              <w:bottom w:w="0" w:type="dxa"/>
              <w:right w:w="15" w:type="dxa"/>
            </w:tcMar>
            <w:vAlign w:val="bottom"/>
          </w:tcPr>
          <w:p w14:paraId="766C2E34" w14:textId="77777777" w:rsidR="0008228C" w:rsidRDefault="00193375">
            <w:pPr>
              <w:tabs>
                <w:tab w:val="left" w:pos="746"/>
                <w:tab w:val="left" w:pos="1237"/>
              </w:tabs>
              <w:spacing w:before="53" w:after="30" w:line="300" w:lineRule="auto"/>
              <w:jc w:val="right"/>
            </w:pPr>
            <w:r>
              <w:rPr>
                <w:color w:val="000000"/>
                <w:sz w:val="16"/>
              </w:rPr>
              <w:tab/>
              <w:t>14,009</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2F3565D2"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2E8FF68B" w14:textId="77777777" w:rsidR="0008228C" w:rsidRDefault="00193375">
            <w:pPr>
              <w:tabs>
                <w:tab w:val="left" w:pos="812"/>
                <w:tab w:val="left" w:pos="1237"/>
              </w:tabs>
              <w:spacing w:before="53" w:after="30" w:line="300" w:lineRule="auto"/>
              <w:jc w:val="right"/>
            </w:pPr>
            <w:r>
              <w:rPr>
                <w:color w:val="000000"/>
                <w:sz w:val="16"/>
              </w:rPr>
              <w:tab/>
              <w:t>220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63F1F063"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539FE127" w14:textId="77777777" w:rsidR="0008228C" w:rsidRDefault="00193375">
            <w:pPr>
              <w:tabs>
                <w:tab w:val="left" w:pos="1"/>
                <w:tab w:val="left" w:pos="336"/>
              </w:tabs>
              <w:spacing w:before="53" w:after="30" w:line="300" w:lineRule="auto"/>
              <w:jc w:val="right"/>
            </w:pPr>
            <w:r>
              <w:rPr>
                <w:color w:val="000000"/>
                <w:sz w:val="16"/>
              </w:rPr>
              <w:tab/>
              <w:t>6.37</w:t>
            </w:r>
            <w:r>
              <w:rPr>
                <w:color w:val="000000"/>
                <w:sz w:val="16"/>
              </w:rPr>
              <w:tab/>
              <w:t>%</w:t>
            </w:r>
          </w:p>
        </w:tc>
        <w:tc>
          <w:tcPr>
            <w:tcW w:w="60" w:type="dxa"/>
            <w:tcBorders>
              <w:top w:val="nil"/>
              <w:left w:val="nil"/>
              <w:bottom w:val="single" w:sz="8" w:space="0" w:color="000000"/>
              <w:right w:val="nil"/>
            </w:tcBorders>
            <w:tcMar>
              <w:top w:w="0" w:type="dxa"/>
              <w:left w:w="0" w:type="dxa"/>
              <w:bottom w:w="0" w:type="dxa"/>
              <w:right w:w="53" w:type="dxa"/>
            </w:tcMar>
            <w:vAlign w:val="center"/>
          </w:tcPr>
          <w:p w14:paraId="378D712E" w14:textId="77777777" w:rsidR="0008228C" w:rsidRDefault="0008228C">
            <w:pPr>
              <w:spacing w:line="269"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483BCDA6" w14:textId="77777777" w:rsidR="0008228C" w:rsidRDefault="00193375">
            <w:pPr>
              <w:tabs>
                <w:tab w:val="left" w:pos="746"/>
                <w:tab w:val="left" w:pos="1237"/>
              </w:tabs>
              <w:spacing w:before="53" w:after="30" w:line="300" w:lineRule="auto"/>
              <w:jc w:val="right"/>
            </w:pPr>
            <w:r>
              <w:rPr>
                <w:color w:val="000000"/>
                <w:sz w:val="16"/>
              </w:rPr>
              <w:tab/>
              <w:t>12,928</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94D2E46"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60F50C85" w14:textId="77777777" w:rsidR="0008228C" w:rsidRDefault="00193375">
            <w:pPr>
              <w:tabs>
                <w:tab w:val="left" w:pos="812"/>
                <w:tab w:val="left" w:pos="1237"/>
              </w:tabs>
              <w:spacing w:before="53" w:after="30" w:line="300" w:lineRule="auto"/>
              <w:jc w:val="right"/>
            </w:pPr>
            <w:r>
              <w:rPr>
                <w:color w:val="000000"/>
                <w:sz w:val="16"/>
              </w:rPr>
              <w:tab/>
              <w:t>190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33EE2308"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51C2C624" w14:textId="77777777" w:rsidR="0008228C" w:rsidRDefault="00193375">
            <w:pPr>
              <w:tabs>
                <w:tab w:val="left" w:pos="1"/>
                <w:tab w:val="left" w:pos="336"/>
              </w:tabs>
              <w:spacing w:before="53" w:after="30" w:line="300" w:lineRule="auto"/>
              <w:jc w:val="right"/>
            </w:pPr>
            <w:r>
              <w:rPr>
                <w:color w:val="000000"/>
                <w:sz w:val="16"/>
              </w:rPr>
              <w:tab/>
              <w:t>5.83</w:t>
            </w:r>
            <w:r>
              <w:rPr>
                <w:color w:val="000000"/>
                <w:sz w:val="16"/>
              </w:rPr>
              <w:tab/>
              <w:t>%</w:t>
            </w:r>
          </w:p>
        </w:tc>
      </w:tr>
      <w:tr w:rsidR="0008228C" w14:paraId="59699C75"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61927D57" w14:textId="77777777" w:rsidR="0008228C" w:rsidRDefault="00193375">
            <w:pPr>
              <w:spacing w:line="269" w:lineRule="auto"/>
            </w:pPr>
            <w:r>
              <w:rPr>
                <w:color w:val="000000"/>
                <w:sz w:val="16"/>
              </w:rPr>
              <w:t>Total interest-earning assets</w:t>
            </w:r>
          </w:p>
        </w:tc>
        <w:tc>
          <w:tcPr>
            <w:tcW w:w="1305" w:type="dxa"/>
            <w:tcBorders>
              <w:top w:val="single" w:sz="8" w:space="0" w:color="000000"/>
              <w:left w:val="nil"/>
              <w:bottom w:val="nil"/>
              <w:right w:val="nil"/>
            </w:tcBorders>
            <w:tcMar>
              <w:top w:w="0" w:type="dxa"/>
              <w:left w:w="0" w:type="dxa"/>
              <w:bottom w:w="0" w:type="dxa"/>
              <w:right w:w="15" w:type="dxa"/>
            </w:tcMar>
            <w:vAlign w:val="bottom"/>
          </w:tcPr>
          <w:p w14:paraId="4BDF4CD2" w14:textId="77777777" w:rsidR="0008228C" w:rsidRDefault="00193375">
            <w:pPr>
              <w:tabs>
                <w:tab w:val="left" w:pos="546"/>
                <w:tab w:val="left" w:pos="1237"/>
              </w:tabs>
              <w:spacing w:before="33" w:after="30" w:line="300" w:lineRule="auto"/>
              <w:jc w:val="right"/>
            </w:pPr>
            <w:r>
              <w:rPr>
                <w:color w:val="000000"/>
                <w:sz w:val="16"/>
              </w:rPr>
              <w:tab/>
              <w:t>2,120,522</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092E270"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2E05CDD6" w14:textId="77777777" w:rsidR="0008228C" w:rsidRDefault="00193375">
            <w:pPr>
              <w:tabs>
                <w:tab w:val="left" w:pos="612"/>
                <w:tab w:val="left" w:pos="1237"/>
              </w:tabs>
              <w:spacing w:before="33" w:after="30" w:line="300" w:lineRule="auto"/>
              <w:jc w:val="right"/>
            </w:pPr>
            <w:r>
              <w:rPr>
                <w:color w:val="000000"/>
                <w:sz w:val="16"/>
              </w:rPr>
              <w:tab/>
              <w:t>18,485</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2FB65AD8"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01C7CA9E" w14:textId="77777777" w:rsidR="0008228C" w:rsidRDefault="00193375">
            <w:pPr>
              <w:tabs>
                <w:tab w:val="left" w:pos="1"/>
                <w:tab w:val="left" w:pos="336"/>
              </w:tabs>
              <w:spacing w:before="33" w:after="30" w:line="300" w:lineRule="auto"/>
              <w:jc w:val="right"/>
            </w:pPr>
            <w:r>
              <w:rPr>
                <w:color w:val="000000"/>
                <w:sz w:val="16"/>
              </w:rPr>
              <w:tab/>
              <w:t>3.54</w:t>
            </w:r>
            <w:r>
              <w:rPr>
                <w:color w:val="000000"/>
                <w:sz w:val="16"/>
              </w:rPr>
              <w:tab/>
              <w:t>%</w:t>
            </w:r>
          </w:p>
        </w:tc>
        <w:tc>
          <w:tcPr>
            <w:tcW w:w="60" w:type="dxa"/>
            <w:tcBorders>
              <w:top w:val="single" w:sz="8" w:space="0" w:color="000000"/>
              <w:left w:val="nil"/>
              <w:bottom w:val="nil"/>
              <w:right w:val="nil"/>
            </w:tcBorders>
            <w:tcMar>
              <w:top w:w="0" w:type="dxa"/>
              <w:left w:w="0" w:type="dxa"/>
              <w:bottom w:w="0" w:type="dxa"/>
              <w:right w:w="53" w:type="dxa"/>
            </w:tcMar>
            <w:vAlign w:val="center"/>
          </w:tcPr>
          <w:p w14:paraId="68B4C113" w14:textId="77777777" w:rsidR="0008228C" w:rsidRDefault="0008228C">
            <w:pPr>
              <w:spacing w:line="269"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795FE026" w14:textId="77777777" w:rsidR="0008228C" w:rsidRDefault="00193375">
            <w:pPr>
              <w:tabs>
                <w:tab w:val="left" w:pos="546"/>
                <w:tab w:val="left" w:pos="1237"/>
              </w:tabs>
              <w:spacing w:before="33" w:after="30" w:line="300" w:lineRule="auto"/>
              <w:jc w:val="right"/>
            </w:pPr>
            <w:r>
              <w:rPr>
                <w:color w:val="000000"/>
                <w:sz w:val="16"/>
              </w:rPr>
              <w:tab/>
              <w:t>2,155,371</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E271860"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6CDEFD67" w14:textId="77777777" w:rsidR="0008228C" w:rsidRDefault="00193375">
            <w:pPr>
              <w:tabs>
                <w:tab w:val="left" w:pos="612"/>
                <w:tab w:val="left" w:pos="1237"/>
              </w:tabs>
              <w:spacing w:before="33" w:after="30" w:line="300" w:lineRule="auto"/>
              <w:jc w:val="right"/>
            </w:pPr>
            <w:r>
              <w:rPr>
                <w:color w:val="000000"/>
                <w:sz w:val="16"/>
              </w:rPr>
              <w:tab/>
              <w:t>21,114</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41AC533A"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0B01A6D3" w14:textId="77777777" w:rsidR="0008228C" w:rsidRDefault="00193375">
            <w:pPr>
              <w:tabs>
                <w:tab w:val="left" w:pos="1"/>
                <w:tab w:val="left" w:pos="336"/>
              </w:tabs>
              <w:spacing w:before="33" w:after="30" w:line="300" w:lineRule="auto"/>
              <w:jc w:val="right"/>
            </w:pPr>
            <w:r>
              <w:rPr>
                <w:color w:val="000000"/>
                <w:sz w:val="16"/>
              </w:rPr>
              <w:tab/>
              <w:t>3.89</w:t>
            </w:r>
            <w:r>
              <w:rPr>
                <w:color w:val="000000"/>
                <w:sz w:val="16"/>
              </w:rPr>
              <w:tab/>
              <w:t>%</w:t>
            </w:r>
          </w:p>
        </w:tc>
      </w:tr>
      <w:tr w:rsidR="0008228C" w14:paraId="6F5BA181" w14:textId="77777777">
        <w:trPr>
          <w:cantSplit/>
          <w:trHeight w:hRule="exact" w:val="315"/>
        </w:trPr>
        <w:tc>
          <w:tcPr>
            <w:tcW w:w="2670" w:type="dxa"/>
            <w:tcBorders>
              <w:top w:val="nil"/>
              <w:left w:val="nil"/>
              <w:bottom w:val="nil"/>
              <w:right w:val="nil"/>
            </w:tcBorders>
            <w:tcMar>
              <w:top w:w="0" w:type="dxa"/>
              <w:left w:w="0" w:type="dxa"/>
              <w:bottom w:w="0" w:type="dxa"/>
              <w:right w:w="0" w:type="dxa"/>
            </w:tcMar>
            <w:vAlign w:val="bottom"/>
          </w:tcPr>
          <w:p w14:paraId="43A409FF" w14:textId="77777777" w:rsidR="0008228C" w:rsidRDefault="0008228C"/>
        </w:tc>
        <w:tc>
          <w:tcPr>
            <w:tcW w:w="1305" w:type="dxa"/>
            <w:tcBorders>
              <w:top w:val="nil"/>
              <w:left w:val="nil"/>
              <w:bottom w:val="nil"/>
              <w:right w:val="nil"/>
            </w:tcBorders>
            <w:tcMar>
              <w:top w:w="0" w:type="dxa"/>
              <w:left w:w="0" w:type="dxa"/>
              <w:bottom w:w="0" w:type="dxa"/>
              <w:right w:w="15" w:type="dxa"/>
            </w:tcMar>
            <w:vAlign w:val="center"/>
          </w:tcPr>
          <w:p w14:paraId="07205F25" w14:textId="77777777" w:rsidR="0008228C" w:rsidRDefault="0008228C">
            <w:pPr>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7FEECA4E" w14:textId="77777777" w:rsidR="0008228C" w:rsidRDefault="0008228C">
            <w:pPr>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06D41790" w14:textId="77777777" w:rsidR="0008228C" w:rsidRDefault="0008228C">
            <w:pPr>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1198A14B" w14:textId="77777777" w:rsidR="0008228C" w:rsidRDefault="0008228C">
            <w:pPr>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277073A5" w14:textId="77777777" w:rsidR="0008228C" w:rsidRDefault="0008228C">
            <w:pPr>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201139AA" w14:textId="77777777" w:rsidR="0008228C" w:rsidRDefault="0008228C">
            <w:pPr>
              <w:spacing w:line="300" w:lineRule="auto"/>
              <w:jc w:val="right"/>
            </w:pPr>
          </w:p>
        </w:tc>
        <w:tc>
          <w:tcPr>
            <w:tcW w:w="1305" w:type="dxa"/>
            <w:tcBorders>
              <w:top w:val="nil"/>
              <w:left w:val="nil"/>
              <w:bottom w:val="nil"/>
              <w:right w:val="nil"/>
            </w:tcBorders>
            <w:tcMar>
              <w:top w:w="0" w:type="dxa"/>
              <w:left w:w="0" w:type="dxa"/>
              <w:bottom w:w="0" w:type="dxa"/>
              <w:right w:w="15" w:type="dxa"/>
            </w:tcMar>
            <w:vAlign w:val="center"/>
          </w:tcPr>
          <w:p w14:paraId="4FDDF57D" w14:textId="77777777" w:rsidR="0008228C" w:rsidRDefault="0008228C">
            <w:pPr>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111FA83C" w14:textId="77777777" w:rsidR="0008228C" w:rsidRDefault="0008228C">
            <w:pPr>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0685C7E3" w14:textId="77777777" w:rsidR="0008228C" w:rsidRDefault="0008228C">
            <w:pPr>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55520AE2" w14:textId="77777777" w:rsidR="0008228C" w:rsidRDefault="0008228C">
            <w:pPr>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47785B84" w14:textId="77777777" w:rsidR="0008228C" w:rsidRDefault="0008228C">
            <w:pPr>
              <w:spacing w:line="300" w:lineRule="auto"/>
              <w:jc w:val="right"/>
            </w:pPr>
          </w:p>
        </w:tc>
      </w:tr>
      <w:tr w:rsidR="0008228C" w14:paraId="07A2AB1A"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294FC7CD" w14:textId="77777777" w:rsidR="0008228C" w:rsidRDefault="00193375">
            <w:pPr>
              <w:spacing w:line="269" w:lineRule="auto"/>
            </w:pPr>
            <w:r>
              <w:rPr>
                <w:color w:val="000000"/>
                <w:sz w:val="16"/>
              </w:rPr>
              <w:t>Total non-interest-earning assets</w:t>
            </w:r>
          </w:p>
        </w:tc>
        <w:tc>
          <w:tcPr>
            <w:tcW w:w="1305" w:type="dxa"/>
            <w:tcBorders>
              <w:top w:val="nil"/>
              <w:left w:val="nil"/>
              <w:bottom w:val="nil"/>
              <w:right w:val="nil"/>
            </w:tcBorders>
            <w:tcMar>
              <w:top w:w="0" w:type="dxa"/>
              <w:left w:w="0" w:type="dxa"/>
              <w:bottom w:w="0" w:type="dxa"/>
              <w:right w:w="15" w:type="dxa"/>
            </w:tcMar>
            <w:vAlign w:val="bottom"/>
          </w:tcPr>
          <w:p w14:paraId="74B0D9B6" w14:textId="77777777" w:rsidR="0008228C" w:rsidRDefault="00193375">
            <w:pPr>
              <w:tabs>
                <w:tab w:val="left" w:pos="666"/>
                <w:tab w:val="left" w:pos="1237"/>
              </w:tabs>
              <w:spacing w:before="53" w:after="30" w:line="300" w:lineRule="auto"/>
              <w:jc w:val="right"/>
            </w:pPr>
            <w:r>
              <w:rPr>
                <w:color w:val="000000"/>
                <w:sz w:val="16"/>
              </w:rPr>
              <w:tab/>
              <w:t>139,279</w:t>
            </w:r>
            <w:r>
              <w:rPr>
                <w:color w:val="000000"/>
                <w:sz w:val="16"/>
              </w:rPr>
              <w:tab/>
            </w:r>
          </w:p>
        </w:tc>
        <w:tc>
          <w:tcPr>
            <w:tcW w:w="60" w:type="dxa"/>
            <w:tcBorders>
              <w:top w:val="nil"/>
              <w:left w:val="nil"/>
              <w:bottom w:val="nil"/>
              <w:right w:val="nil"/>
            </w:tcBorders>
            <w:tcMar>
              <w:top w:w="0" w:type="dxa"/>
              <w:left w:w="53" w:type="dxa"/>
              <w:bottom w:w="0" w:type="dxa"/>
              <w:right w:w="15" w:type="dxa"/>
            </w:tcMar>
            <w:vAlign w:val="bottom"/>
          </w:tcPr>
          <w:p w14:paraId="3F9D1DF1" w14:textId="77777777" w:rsidR="0008228C" w:rsidRDefault="0008228C">
            <w:pPr>
              <w:spacing w:before="53" w:after="30" w:line="300" w:lineRule="auto"/>
            </w:pPr>
          </w:p>
        </w:tc>
        <w:tc>
          <w:tcPr>
            <w:tcW w:w="1305" w:type="dxa"/>
            <w:tcBorders>
              <w:top w:val="nil"/>
              <w:left w:val="nil"/>
              <w:bottom w:val="nil"/>
              <w:right w:val="nil"/>
            </w:tcBorders>
            <w:tcMar>
              <w:top w:w="0" w:type="dxa"/>
              <w:left w:w="53" w:type="dxa"/>
              <w:bottom w:w="0" w:type="dxa"/>
              <w:right w:w="15" w:type="dxa"/>
            </w:tcMar>
            <w:vAlign w:val="bottom"/>
          </w:tcPr>
          <w:p w14:paraId="09928617" w14:textId="77777777" w:rsidR="0008228C" w:rsidRDefault="0008228C">
            <w:pPr>
              <w:spacing w:before="53" w:after="30" w:line="300" w:lineRule="auto"/>
            </w:pPr>
          </w:p>
        </w:tc>
        <w:tc>
          <w:tcPr>
            <w:tcW w:w="60" w:type="dxa"/>
            <w:tcBorders>
              <w:top w:val="nil"/>
              <w:left w:val="nil"/>
              <w:bottom w:val="nil"/>
              <w:right w:val="nil"/>
            </w:tcBorders>
            <w:tcMar>
              <w:top w:w="0" w:type="dxa"/>
              <w:left w:w="53" w:type="dxa"/>
              <w:bottom w:w="0" w:type="dxa"/>
              <w:right w:w="53" w:type="dxa"/>
            </w:tcMar>
            <w:vAlign w:val="bottom"/>
          </w:tcPr>
          <w:p w14:paraId="552EC42C" w14:textId="77777777" w:rsidR="0008228C" w:rsidRDefault="0008228C">
            <w:pPr>
              <w:spacing w:before="53" w:after="30" w:line="300" w:lineRule="auto"/>
            </w:pPr>
          </w:p>
        </w:tc>
        <w:tc>
          <w:tcPr>
            <w:tcW w:w="1305" w:type="dxa"/>
            <w:tcBorders>
              <w:top w:val="nil"/>
              <w:left w:val="nil"/>
              <w:bottom w:val="nil"/>
              <w:right w:val="nil"/>
            </w:tcBorders>
            <w:tcMar>
              <w:top w:w="0" w:type="dxa"/>
              <w:left w:w="53" w:type="dxa"/>
              <w:bottom w:w="0" w:type="dxa"/>
              <w:right w:w="53" w:type="dxa"/>
            </w:tcMar>
            <w:vAlign w:val="bottom"/>
          </w:tcPr>
          <w:p w14:paraId="7E289F14" w14:textId="77777777" w:rsidR="0008228C" w:rsidRDefault="0008228C">
            <w:pPr>
              <w:spacing w:before="53" w:after="30" w:line="300" w:lineRule="auto"/>
            </w:pPr>
          </w:p>
        </w:tc>
        <w:tc>
          <w:tcPr>
            <w:tcW w:w="60" w:type="dxa"/>
            <w:tcBorders>
              <w:top w:val="nil"/>
              <w:left w:val="nil"/>
              <w:bottom w:val="nil"/>
              <w:right w:val="nil"/>
            </w:tcBorders>
            <w:tcMar>
              <w:top w:w="0" w:type="dxa"/>
              <w:left w:w="53" w:type="dxa"/>
              <w:bottom w:w="0" w:type="dxa"/>
              <w:right w:w="53" w:type="dxa"/>
            </w:tcMar>
            <w:vAlign w:val="bottom"/>
          </w:tcPr>
          <w:p w14:paraId="776BACF6" w14:textId="77777777" w:rsidR="0008228C" w:rsidRDefault="0008228C">
            <w:pPr>
              <w:spacing w:before="53" w:after="30" w:line="300" w:lineRule="auto"/>
            </w:pPr>
          </w:p>
        </w:tc>
        <w:tc>
          <w:tcPr>
            <w:tcW w:w="1305" w:type="dxa"/>
            <w:tcBorders>
              <w:top w:val="nil"/>
              <w:left w:val="nil"/>
              <w:bottom w:val="nil"/>
              <w:right w:val="nil"/>
            </w:tcBorders>
            <w:tcMar>
              <w:top w:w="0" w:type="dxa"/>
              <w:left w:w="0" w:type="dxa"/>
              <w:bottom w:w="0" w:type="dxa"/>
              <w:right w:w="15" w:type="dxa"/>
            </w:tcMar>
            <w:vAlign w:val="bottom"/>
          </w:tcPr>
          <w:p w14:paraId="78D74C61" w14:textId="77777777" w:rsidR="0008228C" w:rsidRDefault="00193375">
            <w:pPr>
              <w:tabs>
                <w:tab w:val="left" w:pos="666"/>
                <w:tab w:val="left" w:pos="1237"/>
              </w:tabs>
              <w:spacing w:before="53" w:after="30" w:line="300" w:lineRule="auto"/>
              <w:jc w:val="right"/>
            </w:pPr>
            <w:r>
              <w:rPr>
                <w:color w:val="000000"/>
                <w:sz w:val="16"/>
              </w:rPr>
              <w:tab/>
              <w:t>138,006</w:t>
            </w:r>
            <w:r>
              <w:rPr>
                <w:color w:val="000000"/>
                <w:sz w:val="16"/>
              </w:rPr>
              <w:tab/>
            </w:r>
          </w:p>
        </w:tc>
        <w:tc>
          <w:tcPr>
            <w:tcW w:w="60" w:type="dxa"/>
            <w:tcBorders>
              <w:top w:val="nil"/>
              <w:left w:val="nil"/>
              <w:bottom w:val="nil"/>
              <w:right w:val="nil"/>
            </w:tcBorders>
            <w:tcMar>
              <w:top w:w="0" w:type="dxa"/>
              <w:left w:w="0" w:type="dxa"/>
              <w:bottom w:w="0" w:type="dxa"/>
              <w:right w:w="53" w:type="dxa"/>
            </w:tcMar>
            <w:vAlign w:val="center"/>
          </w:tcPr>
          <w:p w14:paraId="769A1E8B" w14:textId="77777777" w:rsidR="0008228C" w:rsidRDefault="0008228C">
            <w:pPr>
              <w:spacing w:line="269"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1192BDB3" w14:textId="77777777" w:rsidR="0008228C" w:rsidRDefault="0008228C">
            <w:pPr>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4584319A" w14:textId="77777777" w:rsidR="0008228C" w:rsidRDefault="0008228C">
            <w:pPr>
              <w:spacing w:line="300"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7B6FB5E9" w14:textId="77777777" w:rsidR="0008228C" w:rsidRDefault="0008228C">
            <w:pPr>
              <w:spacing w:line="300" w:lineRule="auto"/>
              <w:jc w:val="right"/>
            </w:pPr>
          </w:p>
        </w:tc>
      </w:tr>
      <w:tr w:rsidR="0008228C" w14:paraId="62239FAA" w14:textId="77777777">
        <w:trPr>
          <w:cantSplit/>
          <w:trHeight w:hRule="exact" w:val="225"/>
        </w:trPr>
        <w:tc>
          <w:tcPr>
            <w:tcW w:w="2670" w:type="dxa"/>
            <w:tcBorders>
              <w:top w:val="nil"/>
              <w:left w:val="nil"/>
              <w:bottom w:val="nil"/>
              <w:right w:val="nil"/>
            </w:tcBorders>
            <w:tcMar>
              <w:top w:w="0" w:type="dxa"/>
              <w:left w:w="0" w:type="dxa"/>
              <w:bottom w:w="0" w:type="dxa"/>
              <w:right w:w="0" w:type="dxa"/>
            </w:tcMar>
            <w:vAlign w:val="bottom"/>
          </w:tcPr>
          <w:p w14:paraId="068AB6E0" w14:textId="77777777" w:rsidR="0008228C" w:rsidRDefault="0008228C"/>
        </w:tc>
        <w:tc>
          <w:tcPr>
            <w:tcW w:w="1305" w:type="dxa"/>
            <w:tcBorders>
              <w:top w:val="nil"/>
              <w:left w:val="nil"/>
              <w:bottom w:val="single" w:sz="8" w:space="0" w:color="000000"/>
              <w:right w:val="nil"/>
            </w:tcBorders>
            <w:tcMar>
              <w:top w:w="0" w:type="dxa"/>
              <w:left w:w="0" w:type="dxa"/>
              <w:bottom w:w="0" w:type="dxa"/>
              <w:right w:w="0" w:type="dxa"/>
            </w:tcMar>
            <w:vAlign w:val="bottom"/>
          </w:tcPr>
          <w:p w14:paraId="12966C38"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FC266B4"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4FEAD05F"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E48A333"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43A9E1CD"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7483C21" w14:textId="77777777" w:rsidR="0008228C" w:rsidRDefault="0008228C"/>
        </w:tc>
        <w:tc>
          <w:tcPr>
            <w:tcW w:w="1305" w:type="dxa"/>
            <w:tcBorders>
              <w:top w:val="nil"/>
              <w:left w:val="nil"/>
              <w:bottom w:val="single" w:sz="8" w:space="0" w:color="000000"/>
              <w:right w:val="nil"/>
            </w:tcBorders>
            <w:tcMar>
              <w:top w:w="0" w:type="dxa"/>
              <w:left w:w="0" w:type="dxa"/>
              <w:bottom w:w="0" w:type="dxa"/>
              <w:right w:w="0" w:type="dxa"/>
            </w:tcMar>
            <w:vAlign w:val="bottom"/>
          </w:tcPr>
          <w:p w14:paraId="5937A2D7"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66EFEAD"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2B2D1442"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B6EE08B"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67A93A04" w14:textId="77777777" w:rsidR="0008228C" w:rsidRDefault="0008228C"/>
        </w:tc>
      </w:tr>
      <w:tr w:rsidR="0008228C" w14:paraId="2B002DB7"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0BB13266" w14:textId="77777777" w:rsidR="0008228C" w:rsidRDefault="00193375">
            <w:pPr>
              <w:spacing w:line="269" w:lineRule="auto"/>
            </w:pPr>
            <w:r>
              <w:rPr>
                <w:b/>
                <w:color w:val="000000"/>
                <w:sz w:val="16"/>
              </w:rPr>
              <w:t>Total assets</w:t>
            </w:r>
          </w:p>
        </w:tc>
        <w:tc>
          <w:tcPr>
            <w:tcW w:w="13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27E72D47" w14:textId="77777777" w:rsidR="0008228C" w:rsidRDefault="00193375">
            <w:pPr>
              <w:tabs>
                <w:tab w:val="left" w:pos="546"/>
                <w:tab w:val="left" w:pos="1237"/>
              </w:tabs>
              <w:spacing w:before="33" w:after="30" w:line="300" w:lineRule="auto"/>
              <w:jc w:val="right"/>
            </w:pPr>
            <w:r>
              <w:rPr>
                <w:color w:val="000000"/>
                <w:sz w:val="16"/>
              </w:rPr>
              <w:t>$</w:t>
            </w:r>
            <w:r>
              <w:rPr>
                <w:color w:val="000000"/>
                <w:sz w:val="16"/>
              </w:rPr>
              <w:tab/>
              <w:t>2,259,801</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AC0B570" w14:textId="77777777" w:rsidR="0008228C" w:rsidRDefault="0008228C">
            <w:pPr>
              <w:spacing w:before="3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7DFD6FD0" w14:textId="77777777" w:rsidR="0008228C" w:rsidRDefault="0008228C">
            <w:pPr>
              <w:spacing w:before="3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7EB76E80" w14:textId="77777777" w:rsidR="0008228C" w:rsidRDefault="0008228C">
            <w:pPr>
              <w:spacing w:before="33" w:after="30" w:line="300" w:lineRule="auto"/>
              <w:jc w:val="right"/>
            </w:pPr>
          </w:p>
        </w:tc>
        <w:tc>
          <w:tcPr>
            <w:tcW w:w="1305" w:type="dxa"/>
            <w:tcBorders>
              <w:top w:val="nil"/>
              <w:left w:val="nil"/>
              <w:bottom w:val="nil"/>
              <w:right w:val="nil"/>
            </w:tcBorders>
            <w:tcMar>
              <w:top w:w="0" w:type="dxa"/>
              <w:left w:w="0" w:type="dxa"/>
              <w:bottom w:w="0" w:type="dxa"/>
              <w:right w:w="53" w:type="dxa"/>
            </w:tcMar>
            <w:vAlign w:val="bottom"/>
          </w:tcPr>
          <w:p w14:paraId="5E173316" w14:textId="77777777" w:rsidR="0008228C" w:rsidRDefault="0008228C">
            <w:pPr>
              <w:spacing w:before="3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3B0FC64F" w14:textId="77777777" w:rsidR="0008228C" w:rsidRDefault="0008228C">
            <w:pPr>
              <w:spacing w:before="33" w:after="30" w:line="300" w:lineRule="auto"/>
              <w:jc w:val="right"/>
            </w:pPr>
          </w:p>
        </w:tc>
        <w:tc>
          <w:tcPr>
            <w:tcW w:w="13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67378D14" w14:textId="77777777" w:rsidR="0008228C" w:rsidRDefault="00193375">
            <w:pPr>
              <w:tabs>
                <w:tab w:val="left" w:pos="546"/>
                <w:tab w:val="left" w:pos="1237"/>
              </w:tabs>
              <w:spacing w:before="33" w:after="30" w:line="300" w:lineRule="auto"/>
              <w:jc w:val="right"/>
            </w:pPr>
            <w:r>
              <w:rPr>
                <w:color w:val="000000"/>
                <w:sz w:val="16"/>
              </w:rPr>
              <w:t>$</w:t>
            </w:r>
            <w:r>
              <w:rPr>
                <w:color w:val="000000"/>
                <w:sz w:val="16"/>
              </w:rPr>
              <w:tab/>
              <w:t>2,293,377</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92C23F0"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0D6B88B4"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168250C"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43623E63" w14:textId="77777777" w:rsidR="0008228C" w:rsidRDefault="0008228C"/>
        </w:tc>
      </w:tr>
      <w:tr w:rsidR="0008228C" w14:paraId="74AAAB5E" w14:textId="77777777">
        <w:trPr>
          <w:cantSplit/>
          <w:trHeight w:hRule="exact" w:val="240"/>
        </w:trPr>
        <w:tc>
          <w:tcPr>
            <w:tcW w:w="2670" w:type="dxa"/>
            <w:tcBorders>
              <w:top w:val="nil"/>
              <w:left w:val="nil"/>
              <w:bottom w:val="nil"/>
              <w:right w:val="nil"/>
            </w:tcBorders>
            <w:tcMar>
              <w:top w:w="0" w:type="dxa"/>
              <w:left w:w="0" w:type="dxa"/>
              <w:bottom w:w="0" w:type="dxa"/>
              <w:right w:w="0" w:type="dxa"/>
            </w:tcMar>
            <w:vAlign w:val="bottom"/>
          </w:tcPr>
          <w:p w14:paraId="40E67F7A" w14:textId="77777777" w:rsidR="0008228C" w:rsidRDefault="0008228C"/>
        </w:tc>
        <w:tc>
          <w:tcPr>
            <w:tcW w:w="1305" w:type="dxa"/>
            <w:tcBorders>
              <w:top w:val="double" w:sz="8" w:space="0" w:color="000000"/>
              <w:left w:val="nil"/>
              <w:bottom w:val="nil"/>
              <w:right w:val="nil"/>
            </w:tcBorders>
            <w:tcMar>
              <w:top w:w="0" w:type="dxa"/>
              <w:left w:w="0" w:type="dxa"/>
              <w:bottom w:w="0" w:type="dxa"/>
              <w:right w:w="0" w:type="dxa"/>
            </w:tcMar>
            <w:vAlign w:val="bottom"/>
          </w:tcPr>
          <w:p w14:paraId="65B5356C"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3CF62B9"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760B4206"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8F0D2E6"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39D778A1"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A3B7F60" w14:textId="77777777" w:rsidR="0008228C" w:rsidRDefault="0008228C"/>
        </w:tc>
        <w:tc>
          <w:tcPr>
            <w:tcW w:w="1305" w:type="dxa"/>
            <w:tcBorders>
              <w:top w:val="double" w:sz="8" w:space="0" w:color="000000"/>
              <w:left w:val="nil"/>
              <w:bottom w:val="nil"/>
              <w:right w:val="nil"/>
            </w:tcBorders>
            <w:tcMar>
              <w:top w:w="0" w:type="dxa"/>
              <w:left w:w="0" w:type="dxa"/>
              <w:bottom w:w="0" w:type="dxa"/>
              <w:right w:w="0" w:type="dxa"/>
            </w:tcMar>
            <w:vAlign w:val="bottom"/>
          </w:tcPr>
          <w:p w14:paraId="779232E7"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EB7CE7D"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2C7973F1"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A61B8EB"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21FFFD71" w14:textId="77777777" w:rsidR="0008228C" w:rsidRDefault="0008228C"/>
        </w:tc>
      </w:tr>
      <w:tr w:rsidR="0008228C" w14:paraId="79C6502D"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527D34C0" w14:textId="77777777" w:rsidR="0008228C" w:rsidRDefault="00193375">
            <w:pPr>
              <w:spacing w:line="269" w:lineRule="auto"/>
            </w:pPr>
            <w:r>
              <w:rPr>
                <w:b/>
                <w:color w:val="000000"/>
                <w:sz w:val="16"/>
              </w:rPr>
              <w:t>Liabilities and Shareholders' Equity</w:t>
            </w:r>
          </w:p>
        </w:tc>
        <w:tc>
          <w:tcPr>
            <w:tcW w:w="1305" w:type="dxa"/>
            <w:tcBorders>
              <w:top w:val="nil"/>
              <w:left w:val="nil"/>
              <w:bottom w:val="nil"/>
              <w:right w:val="nil"/>
            </w:tcBorders>
            <w:tcMar>
              <w:top w:w="0" w:type="dxa"/>
              <w:left w:w="0" w:type="dxa"/>
              <w:bottom w:w="0" w:type="dxa"/>
              <w:right w:w="0" w:type="dxa"/>
            </w:tcMar>
            <w:vAlign w:val="bottom"/>
          </w:tcPr>
          <w:p w14:paraId="285D907A"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87C7349"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495F7EA0"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F89A86C"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0F0F3172"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4E89FC8"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7B468C6D"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C862A75"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2217A3E5"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FF7566A"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4EBB129F" w14:textId="77777777" w:rsidR="0008228C" w:rsidRDefault="0008228C"/>
        </w:tc>
      </w:tr>
      <w:tr w:rsidR="0008228C" w14:paraId="305CA969"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47FEB633" w14:textId="77777777" w:rsidR="0008228C" w:rsidRDefault="00193375">
            <w:pPr>
              <w:spacing w:line="269" w:lineRule="auto"/>
            </w:pPr>
            <w:r>
              <w:rPr>
                <w:b/>
                <w:i/>
                <w:color w:val="000000"/>
                <w:sz w:val="16"/>
              </w:rPr>
              <w:t>Interest-bearing liabilities:</w:t>
            </w:r>
          </w:p>
        </w:tc>
        <w:tc>
          <w:tcPr>
            <w:tcW w:w="1305" w:type="dxa"/>
            <w:tcBorders>
              <w:top w:val="nil"/>
              <w:left w:val="nil"/>
              <w:bottom w:val="nil"/>
              <w:right w:val="nil"/>
            </w:tcBorders>
            <w:tcMar>
              <w:top w:w="0" w:type="dxa"/>
              <w:left w:w="0" w:type="dxa"/>
              <w:bottom w:w="0" w:type="dxa"/>
              <w:right w:w="0" w:type="dxa"/>
            </w:tcMar>
            <w:vAlign w:val="bottom"/>
          </w:tcPr>
          <w:p w14:paraId="11A09314"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83723DB"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56676E3C"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8FCE04B"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783577AE"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63D57A1"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6A579A6C"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DCC0065"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5637F064"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B0E1408"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2623395F" w14:textId="77777777" w:rsidR="0008228C" w:rsidRDefault="0008228C"/>
        </w:tc>
      </w:tr>
      <w:tr w:rsidR="0008228C" w14:paraId="72B9E348"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6DDBE7F3" w14:textId="77777777" w:rsidR="0008228C" w:rsidRDefault="00193375">
            <w:pPr>
              <w:spacing w:line="269" w:lineRule="auto"/>
            </w:pPr>
            <w:r>
              <w:rPr>
                <w:color w:val="000000"/>
                <w:sz w:val="16"/>
              </w:rPr>
              <w:t>Interest-bearing NOW accounts</w:t>
            </w:r>
          </w:p>
        </w:tc>
        <w:tc>
          <w:tcPr>
            <w:tcW w:w="1305" w:type="dxa"/>
            <w:tcBorders>
              <w:top w:val="nil"/>
              <w:left w:val="nil"/>
              <w:bottom w:val="nil"/>
              <w:right w:val="nil"/>
            </w:tcBorders>
            <w:tcMar>
              <w:top w:w="0" w:type="dxa"/>
              <w:left w:w="0" w:type="dxa"/>
              <w:bottom w:w="0" w:type="dxa"/>
              <w:right w:w="15" w:type="dxa"/>
            </w:tcMar>
            <w:vAlign w:val="bottom"/>
          </w:tcPr>
          <w:p w14:paraId="285E4812" w14:textId="77777777" w:rsidR="0008228C" w:rsidRDefault="00193375">
            <w:pPr>
              <w:tabs>
                <w:tab w:val="left" w:pos="666"/>
                <w:tab w:val="left" w:pos="1237"/>
              </w:tabs>
              <w:spacing w:before="53" w:after="30" w:line="300" w:lineRule="auto"/>
              <w:jc w:val="right"/>
            </w:pPr>
            <w:r>
              <w:rPr>
                <w:color w:val="000000"/>
                <w:sz w:val="16"/>
              </w:rPr>
              <w:tab/>
              <w:t>190,530</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43FF9881"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F8A6F05" w14:textId="77777777" w:rsidR="0008228C" w:rsidRDefault="00193375">
            <w:pPr>
              <w:tabs>
                <w:tab w:val="left" w:pos="892"/>
                <w:tab w:val="left" w:pos="1237"/>
              </w:tabs>
              <w:spacing w:before="53" w:after="30" w:line="300" w:lineRule="auto"/>
              <w:jc w:val="right"/>
            </w:pPr>
            <w:r>
              <w:rPr>
                <w:color w:val="000000"/>
                <w:sz w:val="16"/>
              </w:rPr>
              <w:tab/>
              <w:t>81</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3CD1EAB5"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5C25FE10" w14:textId="77777777" w:rsidR="0008228C" w:rsidRDefault="00193375">
            <w:pPr>
              <w:tabs>
                <w:tab w:val="left" w:pos="1"/>
                <w:tab w:val="left" w:pos="336"/>
              </w:tabs>
              <w:spacing w:before="53" w:after="30" w:line="300" w:lineRule="auto"/>
              <w:jc w:val="right"/>
            </w:pPr>
            <w:r>
              <w:rPr>
                <w:color w:val="000000"/>
                <w:sz w:val="16"/>
              </w:rPr>
              <w:tab/>
              <w:t>0.17</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3890A3A0"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1FE1F59D" w14:textId="77777777" w:rsidR="0008228C" w:rsidRDefault="00193375">
            <w:pPr>
              <w:tabs>
                <w:tab w:val="left" w:pos="666"/>
                <w:tab w:val="left" w:pos="1237"/>
              </w:tabs>
              <w:spacing w:before="53" w:after="30" w:line="300" w:lineRule="auto"/>
              <w:jc w:val="right"/>
            </w:pPr>
            <w:r>
              <w:rPr>
                <w:color w:val="000000"/>
                <w:sz w:val="16"/>
              </w:rPr>
              <w:tab/>
              <w:t>186,207</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A983C43"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7D4CA0F7" w14:textId="77777777" w:rsidR="0008228C" w:rsidRDefault="00193375">
            <w:pPr>
              <w:tabs>
                <w:tab w:val="left" w:pos="812"/>
                <w:tab w:val="left" w:pos="1237"/>
              </w:tabs>
              <w:spacing w:before="53" w:after="30" w:line="300" w:lineRule="auto"/>
              <w:jc w:val="right"/>
            </w:pPr>
            <w:r>
              <w:rPr>
                <w:color w:val="000000"/>
                <w:sz w:val="16"/>
              </w:rPr>
              <w:tab/>
              <w:t>100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7FC820A2"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B98DF43" w14:textId="77777777" w:rsidR="0008228C" w:rsidRDefault="00193375">
            <w:pPr>
              <w:tabs>
                <w:tab w:val="left" w:pos="1"/>
                <w:tab w:val="left" w:pos="336"/>
              </w:tabs>
              <w:spacing w:before="53" w:after="30" w:line="300" w:lineRule="auto"/>
              <w:jc w:val="right"/>
            </w:pPr>
            <w:r>
              <w:rPr>
                <w:color w:val="000000"/>
                <w:sz w:val="16"/>
              </w:rPr>
              <w:tab/>
              <w:t>0.21</w:t>
            </w:r>
            <w:r>
              <w:rPr>
                <w:color w:val="000000"/>
                <w:sz w:val="16"/>
              </w:rPr>
              <w:tab/>
              <w:t>%</w:t>
            </w:r>
          </w:p>
        </w:tc>
      </w:tr>
      <w:tr w:rsidR="0008228C" w14:paraId="6AA20E25"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6051281B" w14:textId="77777777" w:rsidR="0008228C" w:rsidRDefault="00193375">
            <w:pPr>
              <w:spacing w:line="269" w:lineRule="auto"/>
            </w:pPr>
            <w:r>
              <w:rPr>
                <w:color w:val="000000"/>
                <w:sz w:val="16"/>
              </w:rPr>
              <w:t>Money market and savings accounts</w:t>
            </w:r>
          </w:p>
        </w:tc>
        <w:tc>
          <w:tcPr>
            <w:tcW w:w="1305" w:type="dxa"/>
            <w:tcBorders>
              <w:top w:val="nil"/>
              <w:left w:val="nil"/>
              <w:bottom w:val="nil"/>
              <w:right w:val="nil"/>
            </w:tcBorders>
            <w:tcMar>
              <w:top w:w="0" w:type="dxa"/>
              <w:left w:w="0" w:type="dxa"/>
              <w:bottom w:w="0" w:type="dxa"/>
              <w:right w:w="15" w:type="dxa"/>
            </w:tcMar>
            <w:vAlign w:val="bottom"/>
          </w:tcPr>
          <w:p w14:paraId="247C83D4" w14:textId="77777777" w:rsidR="0008228C" w:rsidRDefault="00193375">
            <w:pPr>
              <w:tabs>
                <w:tab w:val="left" w:pos="666"/>
                <w:tab w:val="left" w:pos="1237"/>
              </w:tabs>
              <w:spacing w:before="53" w:after="30" w:line="300" w:lineRule="auto"/>
              <w:jc w:val="right"/>
            </w:pPr>
            <w:r>
              <w:rPr>
                <w:color w:val="000000"/>
                <w:sz w:val="16"/>
              </w:rPr>
              <w:tab/>
              <w:t>694,155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7DA24B2"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66BEA1D8" w14:textId="77777777" w:rsidR="0008228C" w:rsidRDefault="00193375">
            <w:pPr>
              <w:tabs>
                <w:tab w:val="left" w:pos="812"/>
                <w:tab w:val="left" w:pos="1237"/>
              </w:tabs>
              <w:spacing w:before="53" w:after="30" w:line="300" w:lineRule="auto"/>
              <w:jc w:val="right"/>
            </w:pPr>
            <w:r>
              <w:rPr>
                <w:color w:val="000000"/>
                <w:sz w:val="16"/>
              </w:rPr>
              <w:tab/>
              <w:t>201</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3A53CBDD"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BC0A272" w14:textId="77777777" w:rsidR="0008228C" w:rsidRDefault="00193375">
            <w:pPr>
              <w:tabs>
                <w:tab w:val="left" w:pos="1"/>
                <w:tab w:val="left" w:pos="336"/>
              </w:tabs>
              <w:spacing w:before="53" w:after="30" w:line="300" w:lineRule="auto"/>
              <w:jc w:val="right"/>
            </w:pPr>
            <w:r>
              <w:rPr>
                <w:color w:val="000000"/>
                <w:sz w:val="16"/>
              </w:rPr>
              <w:tab/>
              <w:t>0.12</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6824BBFD"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644CCB2D" w14:textId="77777777" w:rsidR="0008228C" w:rsidRDefault="00193375">
            <w:pPr>
              <w:tabs>
                <w:tab w:val="left" w:pos="666"/>
                <w:tab w:val="left" w:pos="1237"/>
              </w:tabs>
              <w:spacing w:before="53" w:after="30" w:line="300" w:lineRule="auto"/>
              <w:jc w:val="right"/>
            </w:pPr>
            <w:r>
              <w:rPr>
                <w:color w:val="000000"/>
                <w:sz w:val="16"/>
              </w:rPr>
              <w:tab/>
              <w:t>694,506</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11B5742"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40EF7DFB" w14:textId="77777777" w:rsidR="0008228C" w:rsidRDefault="00193375">
            <w:pPr>
              <w:tabs>
                <w:tab w:val="left" w:pos="812"/>
                <w:tab w:val="left" w:pos="1237"/>
              </w:tabs>
              <w:spacing w:before="53" w:after="30" w:line="300" w:lineRule="auto"/>
              <w:jc w:val="right"/>
            </w:pPr>
            <w:r>
              <w:rPr>
                <w:color w:val="000000"/>
                <w:sz w:val="16"/>
              </w:rPr>
              <w:tab/>
              <w:t>220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3EC0DB87"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7B29F9D" w14:textId="77777777" w:rsidR="0008228C" w:rsidRDefault="00193375">
            <w:pPr>
              <w:tabs>
                <w:tab w:val="left" w:pos="1"/>
                <w:tab w:val="left" w:pos="336"/>
              </w:tabs>
              <w:spacing w:before="53" w:after="30" w:line="300" w:lineRule="auto"/>
              <w:jc w:val="right"/>
            </w:pPr>
            <w:r>
              <w:rPr>
                <w:color w:val="000000"/>
                <w:sz w:val="16"/>
              </w:rPr>
              <w:tab/>
              <w:t>0.13</w:t>
            </w:r>
            <w:r>
              <w:rPr>
                <w:color w:val="000000"/>
                <w:sz w:val="16"/>
              </w:rPr>
              <w:tab/>
              <w:t>%</w:t>
            </w:r>
          </w:p>
        </w:tc>
      </w:tr>
      <w:tr w:rsidR="0008228C" w14:paraId="21A5B942"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66057F8D" w14:textId="77777777" w:rsidR="0008228C" w:rsidRDefault="00193375">
            <w:pPr>
              <w:spacing w:line="269" w:lineRule="auto"/>
            </w:pPr>
            <w:r>
              <w:rPr>
                <w:color w:val="000000"/>
                <w:sz w:val="16"/>
              </w:rPr>
              <w:t>Time deposits</w:t>
            </w:r>
          </w:p>
        </w:tc>
        <w:tc>
          <w:tcPr>
            <w:tcW w:w="1305" w:type="dxa"/>
            <w:tcBorders>
              <w:top w:val="nil"/>
              <w:left w:val="nil"/>
              <w:bottom w:val="single" w:sz="8" w:space="0" w:color="000000"/>
              <w:right w:val="nil"/>
            </w:tcBorders>
            <w:tcMar>
              <w:top w:w="0" w:type="dxa"/>
              <w:left w:w="0" w:type="dxa"/>
              <w:bottom w:w="0" w:type="dxa"/>
              <w:right w:w="15" w:type="dxa"/>
            </w:tcMar>
            <w:vAlign w:val="bottom"/>
          </w:tcPr>
          <w:p w14:paraId="7BFB2374" w14:textId="77777777" w:rsidR="0008228C" w:rsidRDefault="00193375">
            <w:pPr>
              <w:tabs>
                <w:tab w:val="left" w:pos="746"/>
                <w:tab w:val="left" w:pos="1237"/>
              </w:tabs>
              <w:spacing w:before="53" w:after="30" w:line="300" w:lineRule="auto"/>
              <w:jc w:val="right"/>
            </w:pPr>
            <w:r>
              <w:rPr>
                <w:color w:val="000000"/>
                <w:sz w:val="16"/>
              </w:rPr>
              <w:tab/>
              <w:t>97,030</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C8C142C"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54EEBFB7" w14:textId="77777777" w:rsidR="0008228C" w:rsidRDefault="00193375">
            <w:pPr>
              <w:tabs>
                <w:tab w:val="left" w:pos="892"/>
                <w:tab w:val="left" w:pos="1237"/>
              </w:tabs>
              <w:spacing w:before="53" w:after="30" w:line="300" w:lineRule="auto"/>
              <w:jc w:val="right"/>
            </w:pPr>
            <w:r>
              <w:rPr>
                <w:color w:val="000000"/>
                <w:sz w:val="16"/>
              </w:rPr>
              <w:tab/>
              <w:t>98</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663DA053"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653C8FFA" w14:textId="77777777" w:rsidR="0008228C" w:rsidRDefault="00193375">
            <w:pPr>
              <w:tabs>
                <w:tab w:val="left" w:pos="1"/>
                <w:tab w:val="left" w:pos="336"/>
              </w:tabs>
              <w:spacing w:before="53" w:after="30" w:line="300" w:lineRule="auto"/>
              <w:jc w:val="right"/>
            </w:pPr>
            <w:r>
              <w:rPr>
                <w:color w:val="000000"/>
                <w:sz w:val="16"/>
              </w:rPr>
              <w:tab/>
              <w:t>0.41</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5F6C6560"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5C7A01DE" w14:textId="77777777" w:rsidR="0008228C" w:rsidRDefault="00193375">
            <w:pPr>
              <w:tabs>
                <w:tab w:val="left" w:pos="666"/>
                <w:tab w:val="left" w:pos="1237"/>
              </w:tabs>
              <w:spacing w:before="53" w:after="30" w:line="300" w:lineRule="auto"/>
              <w:jc w:val="right"/>
            </w:pPr>
            <w:r>
              <w:rPr>
                <w:color w:val="000000"/>
                <w:sz w:val="16"/>
              </w:rPr>
              <w:tab/>
              <w:t>109,745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4FA6945D"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44969125" w14:textId="77777777" w:rsidR="0008228C" w:rsidRDefault="00193375">
            <w:pPr>
              <w:tabs>
                <w:tab w:val="left" w:pos="812"/>
                <w:tab w:val="left" w:pos="1237"/>
              </w:tabs>
              <w:spacing w:before="53" w:after="30" w:line="300" w:lineRule="auto"/>
              <w:jc w:val="right"/>
            </w:pPr>
            <w:r>
              <w:rPr>
                <w:color w:val="000000"/>
                <w:sz w:val="16"/>
              </w:rPr>
              <w:tab/>
              <w:t>133</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5F4B1EB8"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5FE6505C" w14:textId="77777777" w:rsidR="0008228C" w:rsidRDefault="00193375">
            <w:pPr>
              <w:tabs>
                <w:tab w:val="left" w:pos="1"/>
                <w:tab w:val="left" w:pos="336"/>
              </w:tabs>
              <w:spacing w:before="53" w:after="30" w:line="300" w:lineRule="auto"/>
              <w:jc w:val="right"/>
            </w:pPr>
            <w:r>
              <w:rPr>
                <w:color w:val="000000"/>
                <w:sz w:val="16"/>
              </w:rPr>
              <w:tab/>
              <w:t>0.48</w:t>
            </w:r>
            <w:r>
              <w:rPr>
                <w:color w:val="000000"/>
                <w:sz w:val="16"/>
              </w:rPr>
              <w:tab/>
              <w:t>%</w:t>
            </w:r>
          </w:p>
        </w:tc>
      </w:tr>
      <w:tr w:rsidR="0008228C" w14:paraId="0E390E90"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6DC0D8AA" w14:textId="77777777" w:rsidR="0008228C" w:rsidRDefault="00193375" w:rsidP="005F49F1">
            <w:pPr>
              <w:spacing w:line="269" w:lineRule="auto"/>
            </w:pPr>
            <w:r>
              <w:rPr>
                <w:color w:val="000000"/>
                <w:sz w:val="16"/>
              </w:rPr>
              <w:t>Total interest-bearing deposits</w:t>
            </w:r>
          </w:p>
        </w:tc>
        <w:tc>
          <w:tcPr>
            <w:tcW w:w="1305" w:type="dxa"/>
            <w:tcBorders>
              <w:top w:val="single" w:sz="8" w:space="0" w:color="000000"/>
              <w:left w:val="nil"/>
              <w:bottom w:val="nil"/>
              <w:right w:val="nil"/>
            </w:tcBorders>
            <w:tcMar>
              <w:top w:w="0" w:type="dxa"/>
              <w:left w:w="0" w:type="dxa"/>
              <w:bottom w:w="0" w:type="dxa"/>
              <w:right w:w="15" w:type="dxa"/>
            </w:tcMar>
            <w:vAlign w:val="bottom"/>
          </w:tcPr>
          <w:p w14:paraId="1A44DABC" w14:textId="77777777" w:rsidR="0008228C" w:rsidRDefault="00193375">
            <w:pPr>
              <w:tabs>
                <w:tab w:val="left" w:pos="666"/>
                <w:tab w:val="left" w:pos="1237"/>
              </w:tabs>
              <w:spacing w:before="33" w:after="30" w:line="300" w:lineRule="auto"/>
              <w:jc w:val="right"/>
            </w:pPr>
            <w:r>
              <w:rPr>
                <w:color w:val="000000"/>
                <w:sz w:val="16"/>
              </w:rPr>
              <w:tab/>
              <w:t>981,715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E882434"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27E1CACA" w14:textId="77777777" w:rsidR="0008228C" w:rsidRDefault="00193375">
            <w:pPr>
              <w:tabs>
                <w:tab w:val="left" w:pos="812"/>
                <w:tab w:val="left" w:pos="1237"/>
              </w:tabs>
              <w:spacing w:before="33" w:after="30" w:line="300" w:lineRule="auto"/>
              <w:jc w:val="right"/>
            </w:pPr>
            <w:r>
              <w:rPr>
                <w:color w:val="000000"/>
                <w:sz w:val="16"/>
              </w:rPr>
              <w:tab/>
              <w:t>380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1C2D7071"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163F565A" w14:textId="77777777" w:rsidR="0008228C" w:rsidRDefault="00193375">
            <w:pPr>
              <w:tabs>
                <w:tab w:val="left" w:pos="1"/>
                <w:tab w:val="left" w:pos="336"/>
              </w:tabs>
              <w:spacing w:before="33" w:after="30" w:line="300" w:lineRule="auto"/>
              <w:jc w:val="right"/>
            </w:pPr>
            <w:r>
              <w:rPr>
                <w:color w:val="000000"/>
                <w:sz w:val="16"/>
              </w:rPr>
              <w:tab/>
              <w:t>0.16</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16E0701F"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3B3A1C4B" w14:textId="77777777" w:rsidR="0008228C" w:rsidRDefault="00193375">
            <w:pPr>
              <w:tabs>
                <w:tab w:val="left" w:pos="666"/>
                <w:tab w:val="left" w:pos="1237"/>
              </w:tabs>
              <w:spacing w:before="33" w:after="30" w:line="300" w:lineRule="auto"/>
              <w:jc w:val="right"/>
            </w:pPr>
            <w:r>
              <w:rPr>
                <w:color w:val="000000"/>
                <w:sz w:val="16"/>
              </w:rPr>
              <w:tab/>
              <w:t>990,458</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F5C4A94"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52A5E7BB" w14:textId="77777777" w:rsidR="0008228C" w:rsidRDefault="00193375">
            <w:pPr>
              <w:tabs>
                <w:tab w:val="left" w:pos="812"/>
                <w:tab w:val="left" w:pos="1237"/>
              </w:tabs>
              <w:spacing w:before="33" w:after="30" w:line="300" w:lineRule="auto"/>
              <w:jc w:val="right"/>
            </w:pPr>
            <w:r>
              <w:rPr>
                <w:color w:val="000000"/>
                <w:sz w:val="16"/>
              </w:rPr>
              <w:tab/>
              <w:t>453</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41B7D437"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44550F4E" w14:textId="77777777" w:rsidR="0008228C" w:rsidRDefault="00193375">
            <w:pPr>
              <w:tabs>
                <w:tab w:val="left" w:pos="1"/>
                <w:tab w:val="left" w:pos="336"/>
              </w:tabs>
              <w:spacing w:before="33" w:after="30" w:line="300" w:lineRule="auto"/>
              <w:jc w:val="right"/>
            </w:pPr>
            <w:r>
              <w:rPr>
                <w:color w:val="000000"/>
                <w:sz w:val="16"/>
              </w:rPr>
              <w:tab/>
              <w:t>0.18</w:t>
            </w:r>
            <w:r>
              <w:rPr>
                <w:color w:val="000000"/>
                <w:sz w:val="16"/>
              </w:rPr>
              <w:tab/>
              <w:t>%</w:t>
            </w:r>
          </w:p>
        </w:tc>
      </w:tr>
      <w:tr w:rsidR="0008228C" w14:paraId="347024A8"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3DF05B04" w14:textId="77777777" w:rsidR="0008228C" w:rsidRDefault="00193375">
            <w:pPr>
              <w:spacing w:line="269" w:lineRule="auto"/>
            </w:pPr>
            <w:r>
              <w:rPr>
                <w:color w:val="000000"/>
                <w:sz w:val="16"/>
              </w:rPr>
              <w:t>Borrowings:</w:t>
            </w:r>
          </w:p>
        </w:tc>
        <w:tc>
          <w:tcPr>
            <w:tcW w:w="1305" w:type="dxa"/>
            <w:tcBorders>
              <w:top w:val="nil"/>
              <w:left w:val="nil"/>
              <w:bottom w:val="nil"/>
              <w:right w:val="nil"/>
            </w:tcBorders>
            <w:tcMar>
              <w:top w:w="0" w:type="dxa"/>
              <w:left w:w="0" w:type="dxa"/>
              <w:bottom w:w="0" w:type="dxa"/>
              <w:right w:w="15" w:type="dxa"/>
            </w:tcMar>
            <w:vAlign w:val="bottom"/>
          </w:tcPr>
          <w:p w14:paraId="48E084D7"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15" w:type="dxa"/>
            </w:tcMar>
            <w:vAlign w:val="bottom"/>
          </w:tcPr>
          <w:p w14:paraId="68550485"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209B490C"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004E05F7"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53" w:type="dxa"/>
            </w:tcMar>
            <w:vAlign w:val="bottom"/>
          </w:tcPr>
          <w:p w14:paraId="4C477579"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6C728B42"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1554536"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15" w:type="dxa"/>
            </w:tcMar>
            <w:vAlign w:val="bottom"/>
          </w:tcPr>
          <w:p w14:paraId="3F4CE130"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367CD9A"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40473FBF"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53" w:type="dxa"/>
            </w:tcMar>
            <w:vAlign w:val="bottom"/>
          </w:tcPr>
          <w:p w14:paraId="08656213" w14:textId="77777777" w:rsidR="0008228C" w:rsidRDefault="0008228C">
            <w:pPr>
              <w:spacing w:before="53" w:after="30" w:line="300" w:lineRule="auto"/>
              <w:jc w:val="right"/>
            </w:pPr>
          </w:p>
        </w:tc>
      </w:tr>
      <w:tr w:rsidR="0008228C" w14:paraId="309C5993"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4D3B0BE2" w14:textId="77777777" w:rsidR="0008228C" w:rsidRDefault="00193375">
            <w:pPr>
              <w:spacing w:line="269" w:lineRule="auto"/>
            </w:pPr>
            <w:r>
              <w:rPr>
                <w:color w:val="000000"/>
                <w:sz w:val="16"/>
              </w:rPr>
              <w:t>FHLB advances</w:t>
            </w:r>
          </w:p>
        </w:tc>
        <w:tc>
          <w:tcPr>
            <w:tcW w:w="1305" w:type="dxa"/>
            <w:tcBorders>
              <w:top w:val="nil"/>
              <w:left w:val="nil"/>
              <w:bottom w:val="nil"/>
              <w:right w:val="nil"/>
            </w:tcBorders>
            <w:tcMar>
              <w:top w:w="0" w:type="dxa"/>
              <w:left w:w="0" w:type="dxa"/>
              <w:bottom w:w="0" w:type="dxa"/>
              <w:right w:w="15" w:type="dxa"/>
            </w:tcMar>
            <w:vAlign w:val="bottom"/>
          </w:tcPr>
          <w:p w14:paraId="6D43C88C" w14:textId="77777777" w:rsidR="0008228C" w:rsidRDefault="00193375">
            <w:pPr>
              <w:tabs>
                <w:tab w:val="left" w:pos="1026"/>
                <w:tab w:val="left" w:pos="1237"/>
              </w:tabs>
              <w:spacing w:before="53" w:after="30" w:line="300" w:lineRule="auto"/>
              <w:jc w:val="right"/>
            </w:pPr>
            <w:r>
              <w:rPr>
                <w:color w:val="000000"/>
                <w:sz w:val="16"/>
              </w:rPr>
              <w:tab/>
              <w:t>—</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C718ED4"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B81517B" w14:textId="77777777" w:rsidR="0008228C" w:rsidRDefault="00193375">
            <w:pPr>
              <w:tabs>
                <w:tab w:val="left" w:pos="892"/>
                <w:tab w:val="left" w:pos="1237"/>
              </w:tabs>
              <w:spacing w:before="53" w:after="30" w:line="300" w:lineRule="auto"/>
              <w:jc w:val="right"/>
            </w:pPr>
            <w:r>
              <w:rPr>
                <w:color w:val="000000"/>
                <w:sz w:val="16"/>
              </w:rPr>
              <w:tab/>
              <w:t>—</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7B1F95D3"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5C3BE0F" w14:textId="77777777" w:rsidR="0008228C" w:rsidRDefault="00193375">
            <w:pPr>
              <w:tabs>
                <w:tab w:val="left" w:pos="1"/>
                <w:tab w:val="left" w:pos="216"/>
              </w:tabs>
              <w:spacing w:before="53" w:after="30" w:line="300" w:lineRule="auto"/>
              <w:jc w:val="right"/>
            </w:pPr>
            <w:r>
              <w:rPr>
                <w:color w:val="000000"/>
                <w:sz w:val="16"/>
              </w:rPr>
              <w:tab/>
              <w:t>—</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415F0969"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75F8D151" w14:textId="77777777" w:rsidR="0008228C" w:rsidRDefault="00193375">
            <w:pPr>
              <w:tabs>
                <w:tab w:val="left" w:pos="826"/>
                <w:tab w:val="left" w:pos="1237"/>
              </w:tabs>
              <w:spacing w:before="53" w:after="30" w:line="300" w:lineRule="auto"/>
              <w:jc w:val="right"/>
            </w:pPr>
            <w:r>
              <w:rPr>
                <w:color w:val="000000"/>
                <w:sz w:val="16"/>
              </w:rPr>
              <w:tab/>
              <w:t>6,652</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582F7E6"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6C6D2CE9" w14:textId="77777777" w:rsidR="0008228C" w:rsidRDefault="00193375">
            <w:pPr>
              <w:tabs>
                <w:tab w:val="left" w:pos="892"/>
                <w:tab w:val="left" w:pos="1237"/>
              </w:tabs>
              <w:spacing w:before="53" w:after="30" w:line="300" w:lineRule="auto"/>
              <w:jc w:val="right"/>
            </w:pPr>
            <w:r>
              <w:rPr>
                <w:color w:val="000000"/>
                <w:sz w:val="16"/>
              </w:rPr>
              <w:tab/>
              <w:t>25</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3360D83D"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25545DB9" w14:textId="77777777" w:rsidR="0008228C" w:rsidRDefault="00193375">
            <w:pPr>
              <w:tabs>
                <w:tab w:val="left" w:pos="1"/>
                <w:tab w:val="left" w:pos="336"/>
              </w:tabs>
              <w:spacing w:before="53" w:after="30" w:line="300" w:lineRule="auto"/>
              <w:jc w:val="right"/>
            </w:pPr>
            <w:r>
              <w:rPr>
                <w:color w:val="000000"/>
                <w:sz w:val="16"/>
              </w:rPr>
              <w:tab/>
              <w:t>1.49</w:t>
            </w:r>
            <w:r>
              <w:rPr>
                <w:color w:val="000000"/>
                <w:sz w:val="16"/>
              </w:rPr>
              <w:tab/>
              <w:t>%</w:t>
            </w:r>
          </w:p>
        </w:tc>
      </w:tr>
      <w:tr w:rsidR="0008228C" w14:paraId="52C0E265"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79252E4C" w14:textId="77777777" w:rsidR="0008228C" w:rsidRDefault="00193375">
            <w:pPr>
              <w:spacing w:line="269" w:lineRule="auto"/>
            </w:pPr>
            <w:r>
              <w:rPr>
                <w:color w:val="000000"/>
                <w:sz w:val="16"/>
              </w:rPr>
              <w:t>Subordinated debts</w:t>
            </w:r>
          </w:p>
        </w:tc>
        <w:tc>
          <w:tcPr>
            <w:tcW w:w="1305" w:type="dxa"/>
            <w:tcBorders>
              <w:top w:val="nil"/>
              <w:left w:val="nil"/>
              <w:bottom w:val="nil"/>
              <w:right w:val="nil"/>
            </w:tcBorders>
            <w:tcMar>
              <w:top w:w="0" w:type="dxa"/>
              <w:left w:w="0" w:type="dxa"/>
              <w:bottom w:w="0" w:type="dxa"/>
              <w:right w:w="15" w:type="dxa"/>
            </w:tcMar>
            <w:vAlign w:val="bottom"/>
          </w:tcPr>
          <w:p w14:paraId="226E07E8" w14:textId="77777777" w:rsidR="0008228C" w:rsidRDefault="00193375">
            <w:pPr>
              <w:tabs>
                <w:tab w:val="left" w:pos="746"/>
                <w:tab w:val="left" w:pos="1237"/>
              </w:tabs>
              <w:spacing w:before="53" w:after="30" w:line="300" w:lineRule="auto"/>
              <w:jc w:val="right"/>
            </w:pPr>
            <w:r>
              <w:rPr>
                <w:color w:val="000000"/>
                <w:sz w:val="16"/>
              </w:rPr>
              <w:tab/>
              <w:t>17,688</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2321124"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5C88552" w14:textId="77777777" w:rsidR="0008228C" w:rsidRDefault="00193375">
            <w:pPr>
              <w:tabs>
                <w:tab w:val="left" w:pos="812"/>
                <w:tab w:val="left" w:pos="1237"/>
              </w:tabs>
              <w:spacing w:before="53" w:after="30" w:line="300" w:lineRule="auto"/>
              <w:jc w:val="right"/>
            </w:pPr>
            <w:r>
              <w:rPr>
                <w:color w:val="000000"/>
                <w:sz w:val="16"/>
              </w:rPr>
              <w:tab/>
              <w:t>272</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78AF5C59"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7A76C00F" w14:textId="77777777" w:rsidR="0008228C" w:rsidRDefault="00193375">
            <w:pPr>
              <w:tabs>
                <w:tab w:val="left" w:pos="1"/>
                <w:tab w:val="left" w:pos="336"/>
              </w:tabs>
              <w:spacing w:before="53" w:after="30" w:line="300" w:lineRule="auto"/>
              <w:jc w:val="right"/>
            </w:pPr>
            <w:r>
              <w:rPr>
                <w:color w:val="000000"/>
                <w:sz w:val="16"/>
              </w:rPr>
              <w:tab/>
              <w:t>6.24</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38B2F7DC"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44DB88DD" w14:textId="77777777" w:rsidR="0008228C" w:rsidRDefault="00193375">
            <w:pPr>
              <w:tabs>
                <w:tab w:val="left" w:pos="746"/>
                <w:tab w:val="left" w:pos="1237"/>
              </w:tabs>
              <w:spacing w:before="53" w:after="30" w:line="300" w:lineRule="auto"/>
              <w:jc w:val="right"/>
            </w:pPr>
            <w:r>
              <w:rPr>
                <w:color w:val="000000"/>
                <w:sz w:val="16"/>
              </w:rPr>
              <w:tab/>
              <w:t>17,664</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51E6D3D"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6B5186AA" w14:textId="77777777" w:rsidR="0008228C" w:rsidRDefault="00193375">
            <w:pPr>
              <w:tabs>
                <w:tab w:val="left" w:pos="812"/>
                <w:tab w:val="left" w:pos="1237"/>
              </w:tabs>
              <w:spacing w:before="53" w:after="30" w:line="300" w:lineRule="auto"/>
              <w:jc w:val="right"/>
            </w:pPr>
            <w:r>
              <w:rPr>
                <w:color w:val="000000"/>
                <w:sz w:val="16"/>
              </w:rPr>
              <w:tab/>
              <w:t>271</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31A808DE"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1668EFB6" w14:textId="77777777" w:rsidR="0008228C" w:rsidRDefault="00193375">
            <w:pPr>
              <w:tabs>
                <w:tab w:val="left" w:pos="1"/>
                <w:tab w:val="left" w:pos="336"/>
              </w:tabs>
              <w:spacing w:before="53" w:after="30" w:line="300" w:lineRule="auto"/>
              <w:jc w:val="right"/>
            </w:pPr>
            <w:r>
              <w:rPr>
                <w:color w:val="000000"/>
                <w:sz w:val="16"/>
              </w:rPr>
              <w:tab/>
              <w:t>6.09</w:t>
            </w:r>
            <w:r>
              <w:rPr>
                <w:color w:val="000000"/>
                <w:sz w:val="16"/>
              </w:rPr>
              <w:tab/>
              <w:t>%</w:t>
            </w:r>
          </w:p>
        </w:tc>
      </w:tr>
      <w:tr w:rsidR="0008228C" w14:paraId="70EE98F5"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4CBA2F42" w14:textId="77777777" w:rsidR="0008228C" w:rsidRDefault="00193375">
            <w:pPr>
              <w:spacing w:line="269" w:lineRule="auto"/>
            </w:pPr>
            <w:proofErr w:type="spellStart"/>
            <w:r>
              <w:rPr>
                <w:color w:val="000000"/>
                <w:sz w:val="16"/>
              </w:rPr>
              <w:t>TruPS</w:t>
            </w:r>
            <w:proofErr w:type="spellEnd"/>
          </w:p>
        </w:tc>
        <w:tc>
          <w:tcPr>
            <w:tcW w:w="1305" w:type="dxa"/>
            <w:tcBorders>
              <w:top w:val="nil"/>
              <w:left w:val="nil"/>
              <w:bottom w:val="single" w:sz="8" w:space="0" w:color="000000"/>
              <w:right w:val="nil"/>
            </w:tcBorders>
            <w:tcMar>
              <w:top w:w="0" w:type="dxa"/>
              <w:left w:w="0" w:type="dxa"/>
              <w:bottom w:w="0" w:type="dxa"/>
              <w:right w:w="15" w:type="dxa"/>
            </w:tcMar>
            <w:vAlign w:val="bottom"/>
          </w:tcPr>
          <w:p w14:paraId="1DB3C667" w14:textId="77777777" w:rsidR="0008228C" w:rsidRDefault="00193375">
            <w:pPr>
              <w:tabs>
                <w:tab w:val="left" w:pos="826"/>
                <w:tab w:val="left" w:pos="1237"/>
              </w:tabs>
              <w:spacing w:before="53" w:after="30" w:line="300" w:lineRule="auto"/>
              <w:jc w:val="right"/>
            </w:pPr>
            <w:r>
              <w:rPr>
                <w:color w:val="000000"/>
                <w:sz w:val="16"/>
              </w:rPr>
              <w:tab/>
              <w:t>2,737</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4CF2594"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69E14F2B" w14:textId="77777777" w:rsidR="0008228C" w:rsidRDefault="00193375">
            <w:pPr>
              <w:tabs>
                <w:tab w:val="left" w:pos="892"/>
                <w:tab w:val="left" w:pos="1237"/>
              </w:tabs>
              <w:spacing w:before="53" w:after="30" w:line="300" w:lineRule="auto"/>
              <w:jc w:val="right"/>
            </w:pPr>
            <w:r>
              <w:rPr>
                <w:color w:val="000000"/>
                <w:sz w:val="16"/>
              </w:rPr>
              <w:tab/>
              <w:t>38</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03A70B80"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3A70F009" w14:textId="77777777" w:rsidR="0008228C" w:rsidRDefault="00193375">
            <w:pPr>
              <w:tabs>
                <w:tab w:val="left" w:pos="1"/>
                <w:tab w:val="left" w:pos="336"/>
              </w:tabs>
              <w:spacing w:before="53" w:after="30" w:line="300" w:lineRule="auto"/>
              <w:jc w:val="right"/>
            </w:pPr>
            <w:r>
              <w:rPr>
                <w:color w:val="000000"/>
                <w:sz w:val="16"/>
              </w:rPr>
              <w:tab/>
              <w:t>5.63</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19B56E80"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605CE72F" w14:textId="77777777" w:rsidR="0008228C" w:rsidRDefault="00193375">
            <w:pPr>
              <w:tabs>
                <w:tab w:val="left" w:pos="826"/>
                <w:tab w:val="left" w:pos="1237"/>
              </w:tabs>
              <w:spacing w:before="53" w:after="30" w:line="300" w:lineRule="auto"/>
              <w:jc w:val="right"/>
            </w:pPr>
            <w:r>
              <w:rPr>
                <w:color w:val="000000"/>
                <w:sz w:val="16"/>
              </w:rPr>
              <w:tab/>
              <w:t>2,730</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71DE93D"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0189A9F9" w14:textId="77777777" w:rsidR="0008228C" w:rsidRDefault="00193375">
            <w:pPr>
              <w:tabs>
                <w:tab w:val="left" w:pos="892"/>
                <w:tab w:val="left" w:pos="1237"/>
              </w:tabs>
              <w:spacing w:before="53" w:after="30" w:line="300" w:lineRule="auto"/>
              <w:jc w:val="right"/>
            </w:pPr>
            <w:r>
              <w:rPr>
                <w:color w:val="000000"/>
                <w:sz w:val="16"/>
              </w:rPr>
              <w:tab/>
              <w:t>32</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194A5CA6" w14:textId="77777777" w:rsidR="0008228C" w:rsidRDefault="0008228C">
            <w:pPr>
              <w:spacing w:before="53" w:after="30" w:line="300" w:lineRule="auto"/>
              <w:jc w:val="right"/>
            </w:pPr>
          </w:p>
        </w:tc>
        <w:tc>
          <w:tcPr>
            <w:tcW w:w="1305" w:type="dxa"/>
            <w:tcBorders>
              <w:top w:val="nil"/>
              <w:left w:val="nil"/>
              <w:bottom w:val="single" w:sz="8" w:space="0" w:color="000000"/>
              <w:right w:val="nil"/>
            </w:tcBorders>
            <w:tcMar>
              <w:top w:w="0" w:type="dxa"/>
              <w:left w:w="0" w:type="dxa"/>
              <w:bottom w:w="0" w:type="dxa"/>
              <w:right w:w="15" w:type="dxa"/>
            </w:tcMar>
            <w:vAlign w:val="bottom"/>
          </w:tcPr>
          <w:p w14:paraId="54D0FFB5" w14:textId="77777777" w:rsidR="0008228C" w:rsidRDefault="00193375">
            <w:pPr>
              <w:tabs>
                <w:tab w:val="left" w:pos="1"/>
                <w:tab w:val="left" w:pos="336"/>
              </w:tabs>
              <w:spacing w:before="53" w:after="30" w:line="300" w:lineRule="auto"/>
              <w:jc w:val="right"/>
            </w:pPr>
            <w:r>
              <w:rPr>
                <w:color w:val="000000"/>
                <w:sz w:val="16"/>
              </w:rPr>
              <w:tab/>
              <w:t>4.65</w:t>
            </w:r>
            <w:r>
              <w:rPr>
                <w:color w:val="000000"/>
                <w:sz w:val="16"/>
              </w:rPr>
              <w:tab/>
              <w:t>%</w:t>
            </w:r>
          </w:p>
        </w:tc>
      </w:tr>
      <w:tr w:rsidR="0008228C" w14:paraId="1CF3058D"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0C6EDB34" w14:textId="77777777" w:rsidR="0008228C" w:rsidRDefault="00193375" w:rsidP="005F49F1">
            <w:pPr>
              <w:spacing w:line="269" w:lineRule="auto"/>
            </w:pPr>
            <w:r>
              <w:rPr>
                <w:color w:val="000000"/>
                <w:sz w:val="16"/>
              </w:rPr>
              <w:t>Total borrowings</w:t>
            </w:r>
          </w:p>
        </w:tc>
        <w:tc>
          <w:tcPr>
            <w:tcW w:w="1305" w:type="dxa"/>
            <w:tcBorders>
              <w:top w:val="single" w:sz="8" w:space="0" w:color="000000"/>
              <w:left w:val="nil"/>
              <w:bottom w:val="nil"/>
              <w:right w:val="nil"/>
            </w:tcBorders>
            <w:tcMar>
              <w:top w:w="0" w:type="dxa"/>
              <w:left w:w="0" w:type="dxa"/>
              <w:bottom w:w="0" w:type="dxa"/>
              <w:right w:w="15" w:type="dxa"/>
            </w:tcMar>
            <w:vAlign w:val="bottom"/>
          </w:tcPr>
          <w:p w14:paraId="13DC1875" w14:textId="77777777" w:rsidR="0008228C" w:rsidRDefault="00193375">
            <w:pPr>
              <w:tabs>
                <w:tab w:val="left" w:pos="746"/>
                <w:tab w:val="left" w:pos="1237"/>
              </w:tabs>
              <w:spacing w:before="33" w:after="30" w:line="300" w:lineRule="auto"/>
              <w:jc w:val="right"/>
            </w:pPr>
            <w:r>
              <w:rPr>
                <w:color w:val="000000"/>
                <w:sz w:val="16"/>
              </w:rPr>
              <w:tab/>
              <w:t>20,425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DA30DAD"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7350A97E" w14:textId="77777777" w:rsidR="0008228C" w:rsidRDefault="00193375">
            <w:pPr>
              <w:tabs>
                <w:tab w:val="left" w:pos="812"/>
                <w:tab w:val="left" w:pos="1237"/>
              </w:tabs>
              <w:spacing w:before="33" w:after="30" w:line="300" w:lineRule="auto"/>
              <w:jc w:val="right"/>
            </w:pPr>
            <w:r>
              <w:rPr>
                <w:color w:val="000000"/>
                <w:sz w:val="16"/>
              </w:rPr>
              <w:tab/>
              <w:t>310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78834C84"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601B6CFF" w14:textId="77777777" w:rsidR="0008228C" w:rsidRDefault="00193375">
            <w:pPr>
              <w:tabs>
                <w:tab w:val="left" w:pos="1"/>
                <w:tab w:val="left" w:pos="336"/>
              </w:tabs>
              <w:spacing w:before="33" w:after="30" w:line="300" w:lineRule="auto"/>
              <w:jc w:val="right"/>
            </w:pPr>
            <w:r>
              <w:rPr>
                <w:color w:val="000000"/>
                <w:sz w:val="16"/>
              </w:rPr>
              <w:tab/>
              <w:t>6.16</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17315505"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5A97673F" w14:textId="77777777" w:rsidR="0008228C" w:rsidRDefault="00193375">
            <w:pPr>
              <w:tabs>
                <w:tab w:val="left" w:pos="746"/>
                <w:tab w:val="left" w:pos="1237"/>
              </w:tabs>
              <w:spacing w:before="33" w:after="30" w:line="300" w:lineRule="auto"/>
              <w:jc w:val="right"/>
            </w:pPr>
            <w:r>
              <w:rPr>
                <w:color w:val="000000"/>
                <w:sz w:val="16"/>
              </w:rPr>
              <w:tab/>
              <w:t>27,046</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D60D232"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066CC11A" w14:textId="77777777" w:rsidR="0008228C" w:rsidRDefault="00193375">
            <w:pPr>
              <w:tabs>
                <w:tab w:val="left" w:pos="812"/>
                <w:tab w:val="left" w:pos="1237"/>
              </w:tabs>
              <w:spacing w:before="33" w:after="30" w:line="300" w:lineRule="auto"/>
              <w:jc w:val="right"/>
            </w:pPr>
            <w:r>
              <w:rPr>
                <w:color w:val="000000"/>
                <w:sz w:val="16"/>
              </w:rPr>
              <w:tab/>
              <w:t>328</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1538BC85" w14:textId="77777777" w:rsidR="0008228C" w:rsidRDefault="0008228C">
            <w:pPr>
              <w:spacing w:before="33" w:after="30" w:line="300" w:lineRule="auto"/>
              <w:jc w:val="right"/>
            </w:pPr>
          </w:p>
        </w:tc>
        <w:tc>
          <w:tcPr>
            <w:tcW w:w="1305" w:type="dxa"/>
            <w:tcBorders>
              <w:top w:val="single" w:sz="8" w:space="0" w:color="000000"/>
              <w:left w:val="nil"/>
              <w:bottom w:val="nil"/>
              <w:right w:val="nil"/>
            </w:tcBorders>
            <w:tcMar>
              <w:top w:w="0" w:type="dxa"/>
              <w:left w:w="0" w:type="dxa"/>
              <w:bottom w:w="0" w:type="dxa"/>
              <w:right w:w="15" w:type="dxa"/>
            </w:tcMar>
            <w:vAlign w:val="bottom"/>
          </w:tcPr>
          <w:p w14:paraId="3CA4E507" w14:textId="77777777" w:rsidR="0008228C" w:rsidRDefault="00193375">
            <w:pPr>
              <w:tabs>
                <w:tab w:val="left" w:pos="1"/>
                <w:tab w:val="left" w:pos="336"/>
              </w:tabs>
              <w:spacing w:before="33" w:after="30" w:line="300" w:lineRule="auto"/>
              <w:jc w:val="right"/>
            </w:pPr>
            <w:r>
              <w:rPr>
                <w:color w:val="000000"/>
                <w:sz w:val="16"/>
              </w:rPr>
              <w:tab/>
              <w:t>4.81</w:t>
            </w:r>
            <w:r>
              <w:rPr>
                <w:color w:val="000000"/>
                <w:sz w:val="16"/>
              </w:rPr>
              <w:tab/>
              <w:t>%</w:t>
            </w:r>
          </w:p>
        </w:tc>
      </w:tr>
      <w:tr w:rsidR="0008228C" w14:paraId="77479502"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3228BB0E" w14:textId="77777777" w:rsidR="0008228C" w:rsidRDefault="00193375">
            <w:pPr>
              <w:spacing w:line="269" w:lineRule="auto"/>
            </w:pPr>
            <w:r>
              <w:rPr>
                <w:color w:val="000000"/>
                <w:sz w:val="16"/>
              </w:rPr>
              <w:t>Total Interest-bearing liabilities</w:t>
            </w:r>
          </w:p>
        </w:tc>
        <w:tc>
          <w:tcPr>
            <w:tcW w:w="1305" w:type="dxa"/>
            <w:tcBorders>
              <w:top w:val="nil"/>
              <w:left w:val="nil"/>
              <w:bottom w:val="nil"/>
              <w:right w:val="nil"/>
            </w:tcBorders>
            <w:tcMar>
              <w:top w:w="0" w:type="dxa"/>
              <w:left w:w="0" w:type="dxa"/>
              <w:bottom w:w="0" w:type="dxa"/>
              <w:right w:w="15" w:type="dxa"/>
            </w:tcMar>
            <w:vAlign w:val="bottom"/>
          </w:tcPr>
          <w:p w14:paraId="5F9CD0D7" w14:textId="77777777" w:rsidR="0008228C" w:rsidRDefault="00193375">
            <w:pPr>
              <w:tabs>
                <w:tab w:val="left" w:pos="546"/>
                <w:tab w:val="left" w:pos="1237"/>
              </w:tabs>
              <w:spacing w:before="53" w:after="30" w:line="300" w:lineRule="auto"/>
              <w:jc w:val="right"/>
            </w:pPr>
            <w:r>
              <w:rPr>
                <w:color w:val="000000"/>
                <w:sz w:val="16"/>
              </w:rPr>
              <w:tab/>
              <w:t>1,002,140</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E04B042"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34EA99E3" w14:textId="77777777" w:rsidR="0008228C" w:rsidRDefault="00193375">
            <w:pPr>
              <w:tabs>
                <w:tab w:val="left" w:pos="812"/>
                <w:tab w:val="left" w:pos="1237"/>
              </w:tabs>
              <w:spacing w:before="53" w:after="30" w:line="300" w:lineRule="auto"/>
              <w:jc w:val="right"/>
            </w:pPr>
            <w:r>
              <w:rPr>
                <w:color w:val="000000"/>
                <w:sz w:val="16"/>
              </w:rPr>
              <w:tab/>
              <w:t>690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271E5F00"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532F4C0E" w14:textId="77777777" w:rsidR="0008228C" w:rsidRDefault="00193375">
            <w:pPr>
              <w:tabs>
                <w:tab w:val="left" w:pos="1"/>
                <w:tab w:val="left" w:pos="336"/>
              </w:tabs>
              <w:spacing w:before="53" w:after="30" w:line="300" w:lineRule="auto"/>
              <w:jc w:val="right"/>
            </w:pPr>
            <w:r>
              <w:rPr>
                <w:color w:val="000000"/>
                <w:sz w:val="16"/>
              </w:rPr>
              <w:tab/>
              <w:t>0.28</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588592BF"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175B852D" w14:textId="77777777" w:rsidR="0008228C" w:rsidRDefault="00193375">
            <w:pPr>
              <w:tabs>
                <w:tab w:val="left" w:pos="546"/>
                <w:tab w:val="left" w:pos="1237"/>
              </w:tabs>
              <w:spacing w:before="53" w:after="30" w:line="300" w:lineRule="auto"/>
              <w:jc w:val="right"/>
            </w:pPr>
            <w:r>
              <w:rPr>
                <w:color w:val="000000"/>
                <w:sz w:val="16"/>
              </w:rPr>
              <w:tab/>
              <w:t>1,017,504</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2D10D662"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79FD2891" w14:textId="77777777" w:rsidR="0008228C" w:rsidRDefault="00193375">
            <w:pPr>
              <w:tabs>
                <w:tab w:val="left" w:pos="812"/>
                <w:tab w:val="left" w:pos="1237"/>
              </w:tabs>
              <w:spacing w:before="53" w:after="30" w:line="300" w:lineRule="auto"/>
              <w:jc w:val="right"/>
            </w:pPr>
            <w:r>
              <w:rPr>
                <w:color w:val="000000"/>
                <w:sz w:val="16"/>
              </w:rPr>
              <w:tab/>
              <w:t>781</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000A4102"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246CA6CC" w14:textId="77777777" w:rsidR="0008228C" w:rsidRDefault="00193375">
            <w:pPr>
              <w:tabs>
                <w:tab w:val="left" w:pos="1"/>
                <w:tab w:val="left" w:pos="336"/>
              </w:tabs>
              <w:spacing w:before="53" w:after="30" w:line="300" w:lineRule="auto"/>
              <w:jc w:val="right"/>
            </w:pPr>
            <w:r>
              <w:rPr>
                <w:color w:val="000000"/>
                <w:sz w:val="16"/>
              </w:rPr>
              <w:tab/>
              <w:t>0.30</w:t>
            </w:r>
            <w:r>
              <w:rPr>
                <w:color w:val="000000"/>
                <w:sz w:val="16"/>
              </w:rPr>
              <w:tab/>
              <w:t>%</w:t>
            </w:r>
          </w:p>
        </w:tc>
      </w:tr>
      <w:tr w:rsidR="0008228C" w14:paraId="2AD16E8A" w14:textId="77777777">
        <w:trPr>
          <w:cantSplit/>
          <w:trHeight w:hRule="exact" w:val="315"/>
        </w:trPr>
        <w:tc>
          <w:tcPr>
            <w:tcW w:w="2670" w:type="dxa"/>
            <w:tcBorders>
              <w:top w:val="nil"/>
              <w:left w:val="nil"/>
              <w:bottom w:val="nil"/>
              <w:right w:val="nil"/>
            </w:tcBorders>
            <w:tcMar>
              <w:top w:w="0" w:type="dxa"/>
              <w:left w:w="0" w:type="dxa"/>
              <w:bottom w:w="0" w:type="dxa"/>
              <w:right w:w="0" w:type="dxa"/>
            </w:tcMar>
            <w:vAlign w:val="bottom"/>
          </w:tcPr>
          <w:p w14:paraId="102C5E59" w14:textId="77777777" w:rsidR="0008228C" w:rsidRDefault="0008228C"/>
        </w:tc>
        <w:tc>
          <w:tcPr>
            <w:tcW w:w="1305" w:type="dxa"/>
            <w:tcBorders>
              <w:top w:val="nil"/>
              <w:left w:val="nil"/>
              <w:bottom w:val="nil"/>
              <w:right w:val="nil"/>
            </w:tcBorders>
            <w:tcMar>
              <w:top w:w="0" w:type="dxa"/>
              <w:left w:w="0" w:type="dxa"/>
              <w:bottom w:w="0" w:type="dxa"/>
              <w:right w:w="15" w:type="dxa"/>
            </w:tcMar>
            <w:vAlign w:val="bottom"/>
          </w:tcPr>
          <w:p w14:paraId="112C301C"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673E695A" w14:textId="77777777" w:rsidR="0008228C" w:rsidRDefault="0008228C"/>
        </w:tc>
        <w:tc>
          <w:tcPr>
            <w:tcW w:w="1305" w:type="dxa"/>
            <w:tcBorders>
              <w:top w:val="nil"/>
              <w:left w:val="nil"/>
              <w:bottom w:val="single" w:sz="8" w:space="0" w:color="000000"/>
              <w:right w:val="nil"/>
            </w:tcBorders>
            <w:tcMar>
              <w:top w:w="0" w:type="dxa"/>
              <w:left w:w="0" w:type="dxa"/>
              <w:bottom w:w="0" w:type="dxa"/>
              <w:right w:w="0" w:type="dxa"/>
            </w:tcMar>
            <w:vAlign w:val="bottom"/>
          </w:tcPr>
          <w:p w14:paraId="605C90F6"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A322374"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5086FD2B"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5AB4744"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76D9E413"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00FAE15" w14:textId="77777777" w:rsidR="0008228C" w:rsidRDefault="0008228C"/>
        </w:tc>
        <w:tc>
          <w:tcPr>
            <w:tcW w:w="1305" w:type="dxa"/>
            <w:tcBorders>
              <w:top w:val="nil"/>
              <w:left w:val="nil"/>
              <w:bottom w:val="single" w:sz="8" w:space="0" w:color="000000"/>
              <w:right w:val="nil"/>
            </w:tcBorders>
            <w:tcMar>
              <w:top w:w="0" w:type="dxa"/>
              <w:left w:w="0" w:type="dxa"/>
              <w:bottom w:w="0" w:type="dxa"/>
              <w:right w:w="0" w:type="dxa"/>
            </w:tcMar>
            <w:vAlign w:val="bottom"/>
          </w:tcPr>
          <w:p w14:paraId="149614CD"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CA8C6A6"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51D9C7C3" w14:textId="77777777" w:rsidR="0008228C" w:rsidRDefault="0008228C"/>
        </w:tc>
      </w:tr>
      <w:tr w:rsidR="0008228C" w14:paraId="49E50B03"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3F8A70C9" w14:textId="77777777" w:rsidR="0008228C" w:rsidRDefault="00193375">
            <w:pPr>
              <w:spacing w:line="269" w:lineRule="auto"/>
            </w:pPr>
            <w:r>
              <w:rPr>
                <w:color w:val="000000"/>
                <w:sz w:val="16"/>
              </w:rPr>
              <w:t>Non-interest-bearing liabilities:</w:t>
            </w:r>
          </w:p>
        </w:tc>
        <w:tc>
          <w:tcPr>
            <w:tcW w:w="1305" w:type="dxa"/>
            <w:tcBorders>
              <w:top w:val="nil"/>
              <w:left w:val="nil"/>
              <w:bottom w:val="nil"/>
              <w:right w:val="nil"/>
            </w:tcBorders>
            <w:tcMar>
              <w:top w:w="0" w:type="dxa"/>
              <w:left w:w="0" w:type="dxa"/>
              <w:bottom w:w="0" w:type="dxa"/>
              <w:right w:w="15" w:type="dxa"/>
            </w:tcMar>
            <w:vAlign w:val="bottom"/>
          </w:tcPr>
          <w:p w14:paraId="3D15A1E4" w14:textId="77777777" w:rsidR="0008228C" w:rsidRDefault="0008228C">
            <w:pPr>
              <w:spacing w:before="33" w:after="30"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01F07DA0" w14:textId="77777777" w:rsidR="0008228C" w:rsidRDefault="0008228C"/>
        </w:tc>
        <w:tc>
          <w:tcPr>
            <w:tcW w:w="1305" w:type="dxa"/>
            <w:vMerge w:val="restart"/>
            <w:tcBorders>
              <w:top w:val="nil"/>
              <w:left w:val="single" w:sz="8" w:space="0" w:color="000000"/>
              <w:bottom w:val="nil"/>
              <w:right w:val="nil"/>
            </w:tcBorders>
            <w:tcMar>
              <w:top w:w="0" w:type="dxa"/>
              <w:left w:w="53" w:type="dxa"/>
              <w:bottom w:w="0" w:type="dxa"/>
              <w:right w:w="53" w:type="dxa"/>
            </w:tcMar>
            <w:vAlign w:val="center"/>
          </w:tcPr>
          <w:p w14:paraId="021015C8" w14:textId="77777777" w:rsidR="0008228C" w:rsidRDefault="00193375">
            <w:pPr>
              <w:spacing w:line="269" w:lineRule="auto"/>
              <w:jc w:val="center"/>
            </w:pPr>
            <w:r>
              <w:rPr>
                <w:color w:val="000000"/>
                <w:sz w:val="16"/>
              </w:rPr>
              <w:t>Avg NIB/Avg TTL Deposits</w:t>
            </w:r>
          </w:p>
        </w:tc>
        <w:tc>
          <w:tcPr>
            <w:tcW w:w="60" w:type="dxa"/>
            <w:tcBorders>
              <w:top w:val="nil"/>
              <w:left w:val="single" w:sz="8" w:space="0" w:color="000000"/>
              <w:bottom w:val="nil"/>
              <w:right w:val="nil"/>
            </w:tcBorders>
            <w:tcMar>
              <w:top w:w="0" w:type="dxa"/>
              <w:left w:w="0" w:type="dxa"/>
              <w:bottom w:w="0" w:type="dxa"/>
              <w:right w:w="0" w:type="dxa"/>
            </w:tcMar>
            <w:vAlign w:val="bottom"/>
          </w:tcPr>
          <w:p w14:paraId="3E20450B"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770587FC"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A3ED4AC"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4771835B"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8C90EBA" w14:textId="77777777" w:rsidR="0008228C" w:rsidRDefault="0008228C"/>
        </w:tc>
        <w:tc>
          <w:tcPr>
            <w:tcW w:w="1305" w:type="dxa"/>
            <w:vMerge w:val="restart"/>
            <w:tcBorders>
              <w:top w:val="nil"/>
              <w:left w:val="single" w:sz="8" w:space="0" w:color="000000"/>
              <w:bottom w:val="nil"/>
              <w:right w:val="nil"/>
            </w:tcBorders>
            <w:tcMar>
              <w:top w:w="0" w:type="dxa"/>
              <w:left w:w="53" w:type="dxa"/>
              <w:bottom w:w="0" w:type="dxa"/>
              <w:right w:w="53" w:type="dxa"/>
            </w:tcMar>
            <w:vAlign w:val="center"/>
          </w:tcPr>
          <w:p w14:paraId="0446D927" w14:textId="77777777" w:rsidR="0008228C" w:rsidRDefault="00193375">
            <w:pPr>
              <w:spacing w:line="269" w:lineRule="auto"/>
              <w:jc w:val="center"/>
            </w:pPr>
            <w:r>
              <w:rPr>
                <w:color w:val="000000"/>
                <w:sz w:val="16"/>
              </w:rPr>
              <w:t>Avg NIB/Avg TTL Deposits</w:t>
            </w:r>
          </w:p>
        </w:tc>
        <w:tc>
          <w:tcPr>
            <w:tcW w:w="60" w:type="dxa"/>
            <w:tcBorders>
              <w:top w:val="nil"/>
              <w:left w:val="single" w:sz="8" w:space="0" w:color="000000"/>
              <w:bottom w:val="nil"/>
              <w:right w:val="nil"/>
            </w:tcBorders>
            <w:tcMar>
              <w:top w:w="0" w:type="dxa"/>
              <w:left w:w="0" w:type="dxa"/>
              <w:bottom w:w="0" w:type="dxa"/>
              <w:right w:w="0" w:type="dxa"/>
            </w:tcMar>
            <w:vAlign w:val="bottom"/>
          </w:tcPr>
          <w:p w14:paraId="2D057001"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44A6B11A" w14:textId="77777777" w:rsidR="0008228C" w:rsidRDefault="0008228C"/>
        </w:tc>
      </w:tr>
      <w:tr w:rsidR="0008228C" w14:paraId="08352A0A"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72E44063" w14:textId="77777777" w:rsidR="0008228C" w:rsidRDefault="00193375">
            <w:pPr>
              <w:keepNext/>
              <w:spacing w:line="269" w:lineRule="auto"/>
            </w:pPr>
            <w:r>
              <w:rPr>
                <w:color w:val="000000"/>
                <w:sz w:val="16"/>
              </w:rPr>
              <w:t>Demand deposits</w:t>
            </w:r>
          </w:p>
        </w:tc>
        <w:tc>
          <w:tcPr>
            <w:tcW w:w="1305" w:type="dxa"/>
            <w:tcBorders>
              <w:top w:val="nil"/>
              <w:left w:val="nil"/>
              <w:bottom w:val="nil"/>
              <w:right w:val="nil"/>
            </w:tcBorders>
            <w:tcMar>
              <w:top w:w="0" w:type="dxa"/>
              <w:left w:w="0" w:type="dxa"/>
              <w:bottom w:w="0" w:type="dxa"/>
              <w:right w:w="15" w:type="dxa"/>
            </w:tcMar>
            <w:vAlign w:val="bottom"/>
          </w:tcPr>
          <w:p w14:paraId="39870F0D" w14:textId="77777777" w:rsidR="0008228C" w:rsidRDefault="00193375">
            <w:pPr>
              <w:keepNext/>
              <w:tabs>
                <w:tab w:val="left" w:pos="666"/>
                <w:tab w:val="left" w:pos="1237"/>
              </w:tabs>
              <w:spacing w:before="53" w:after="30" w:line="300" w:lineRule="auto"/>
              <w:jc w:val="right"/>
            </w:pPr>
            <w:r>
              <w:rPr>
                <w:color w:val="000000"/>
                <w:sz w:val="16"/>
              </w:rPr>
              <w:tab/>
              <w:t>990,185</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0D592D95" w14:textId="77777777" w:rsidR="0008228C" w:rsidRDefault="0008228C">
            <w:pPr>
              <w:keepNext/>
            </w:pPr>
          </w:p>
        </w:tc>
        <w:tc>
          <w:tcPr>
            <w:tcW w:w="1305" w:type="dxa"/>
            <w:vMerge/>
            <w:tcBorders>
              <w:top w:val="nil"/>
              <w:left w:val="single" w:sz="8" w:space="0" w:color="000000"/>
              <w:bottom w:val="nil"/>
              <w:right w:val="nil"/>
            </w:tcBorders>
          </w:tcPr>
          <w:p w14:paraId="31366806" w14:textId="77777777" w:rsidR="0008228C" w:rsidRDefault="0008228C">
            <w:pPr>
              <w:keepNext/>
            </w:pPr>
          </w:p>
        </w:tc>
        <w:tc>
          <w:tcPr>
            <w:tcW w:w="60" w:type="dxa"/>
            <w:tcBorders>
              <w:top w:val="nil"/>
              <w:left w:val="single" w:sz="8" w:space="0" w:color="000000"/>
              <w:bottom w:val="nil"/>
              <w:right w:val="nil"/>
            </w:tcBorders>
            <w:tcMar>
              <w:top w:w="0" w:type="dxa"/>
              <w:left w:w="0" w:type="dxa"/>
              <w:bottom w:w="0" w:type="dxa"/>
              <w:right w:w="0" w:type="dxa"/>
            </w:tcMar>
            <w:vAlign w:val="bottom"/>
          </w:tcPr>
          <w:p w14:paraId="0F417F2E" w14:textId="77777777" w:rsidR="0008228C" w:rsidRDefault="0008228C">
            <w:pPr>
              <w:keepNext/>
            </w:pPr>
          </w:p>
        </w:tc>
        <w:tc>
          <w:tcPr>
            <w:tcW w:w="1305" w:type="dxa"/>
            <w:tcBorders>
              <w:top w:val="nil"/>
              <w:left w:val="nil"/>
              <w:bottom w:val="nil"/>
              <w:right w:val="nil"/>
            </w:tcBorders>
            <w:tcMar>
              <w:top w:w="0" w:type="dxa"/>
              <w:left w:w="0" w:type="dxa"/>
              <w:bottom w:w="0" w:type="dxa"/>
              <w:right w:w="0" w:type="dxa"/>
            </w:tcMar>
            <w:vAlign w:val="bottom"/>
          </w:tcPr>
          <w:p w14:paraId="5EB8C8BF" w14:textId="77777777" w:rsidR="0008228C" w:rsidRDefault="0008228C">
            <w:pPr>
              <w:keepNext/>
            </w:pPr>
          </w:p>
        </w:tc>
        <w:tc>
          <w:tcPr>
            <w:tcW w:w="60" w:type="dxa"/>
            <w:tcBorders>
              <w:top w:val="nil"/>
              <w:left w:val="nil"/>
              <w:bottom w:val="nil"/>
              <w:right w:val="nil"/>
            </w:tcBorders>
            <w:tcMar>
              <w:top w:w="0" w:type="dxa"/>
              <w:left w:w="0" w:type="dxa"/>
              <w:bottom w:w="0" w:type="dxa"/>
              <w:right w:w="0" w:type="dxa"/>
            </w:tcMar>
            <w:vAlign w:val="bottom"/>
          </w:tcPr>
          <w:p w14:paraId="71FA3AB3" w14:textId="77777777" w:rsidR="0008228C" w:rsidRDefault="0008228C">
            <w:pPr>
              <w:keepNext/>
            </w:pPr>
          </w:p>
        </w:tc>
        <w:tc>
          <w:tcPr>
            <w:tcW w:w="1305" w:type="dxa"/>
            <w:tcBorders>
              <w:top w:val="nil"/>
              <w:left w:val="nil"/>
              <w:bottom w:val="nil"/>
              <w:right w:val="nil"/>
            </w:tcBorders>
            <w:tcMar>
              <w:top w:w="0" w:type="dxa"/>
              <w:left w:w="0" w:type="dxa"/>
              <w:bottom w:w="0" w:type="dxa"/>
              <w:right w:w="15" w:type="dxa"/>
            </w:tcMar>
            <w:vAlign w:val="bottom"/>
          </w:tcPr>
          <w:p w14:paraId="27AAD3C6" w14:textId="77777777" w:rsidR="0008228C" w:rsidRDefault="00193375">
            <w:pPr>
              <w:keepNext/>
              <w:tabs>
                <w:tab w:val="left" w:pos="546"/>
                <w:tab w:val="left" w:pos="1237"/>
              </w:tabs>
              <w:spacing w:before="53" w:after="30" w:line="300" w:lineRule="auto"/>
              <w:jc w:val="right"/>
            </w:pPr>
            <w:r>
              <w:rPr>
                <w:color w:val="000000"/>
                <w:sz w:val="16"/>
              </w:rPr>
              <w:tab/>
              <w:t>1,007,192</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F8B1863" w14:textId="77777777" w:rsidR="0008228C" w:rsidRDefault="0008228C">
            <w:pPr>
              <w:keepNext/>
            </w:pPr>
          </w:p>
        </w:tc>
        <w:tc>
          <w:tcPr>
            <w:tcW w:w="1305" w:type="dxa"/>
            <w:vMerge/>
            <w:tcBorders>
              <w:top w:val="nil"/>
              <w:left w:val="single" w:sz="8" w:space="0" w:color="000000"/>
              <w:bottom w:val="nil"/>
              <w:right w:val="nil"/>
            </w:tcBorders>
          </w:tcPr>
          <w:p w14:paraId="76337669" w14:textId="77777777" w:rsidR="0008228C" w:rsidRDefault="0008228C">
            <w:pPr>
              <w:keepNext/>
            </w:pPr>
          </w:p>
        </w:tc>
        <w:tc>
          <w:tcPr>
            <w:tcW w:w="60" w:type="dxa"/>
            <w:tcBorders>
              <w:top w:val="nil"/>
              <w:left w:val="single" w:sz="8" w:space="0" w:color="000000"/>
              <w:bottom w:val="nil"/>
              <w:right w:val="nil"/>
            </w:tcBorders>
            <w:tcMar>
              <w:top w:w="0" w:type="dxa"/>
              <w:left w:w="0" w:type="dxa"/>
              <w:bottom w:w="0" w:type="dxa"/>
              <w:right w:w="0" w:type="dxa"/>
            </w:tcMar>
            <w:vAlign w:val="bottom"/>
          </w:tcPr>
          <w:p w14:paraId="2F52A24A" w14:textId="77777777" w:rsidR="0008228C" w:rsidRDefault="0008228C">
            <w:pPr>
              <w:keepNext/>
            </w:pPr>
          </w:p>
        </w:tc>
        <w:tc>
          <w:tcPr>
            <w:tcW w:w="1305" w:type="dxa"/>
            <w:tcBorders>
              <w:top w:val="nil"/>
              <w:left w:val="nil"/>
              <w:bottom w:val="nil"/>
              <w:right w:val="nil"/>
            </w:tcBorders>
            <w:tcMar>
              <w:top w:w="0" w:type="dxa"/>
              <w:left w:w="0" w:type="dxa"/>
              <w:bottom w:w="0" w:type="dxa"/>
              <w:right w:w="0" w:type="dxa"/>
            </w:tcMar>
            <w:vAlign w:val="bottom"/>
          </w:tcPr>
          <w:p w14:paraId="1028CC60" w14:textId="77777777" w:rsidR="0008228C" w:rsidRDefault="0008228C">
            <w:pPr>
              <w:keepNext/>
            </w:pPr>
          </w:p>
        </w:tc>
      </w:tr>
      <w:tr w:rsidR="0008228C" w14:paraId="469064D2"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7A9A66B8" w14:textId="77777777" w:rsidR="0008228C" w:rsidRDefault="00193375">
            <w:pPr>
              <w:spacing w:line="269" w:lineRule="auto"/>
            </w:pPr>
            <w:r>
              <w:rPr>
                <w:color w:val="000000"/>
                <w:sz w:val="16"/>
              </w:rPr>
              <w:t>Other liabilities</w:t>
            </w:r>
          </w:p>
        </w:tc>
        <w:tc>
          <w:tcPr>
            <w:tcW w:w="1305" w:type="dxa"/>
            <w:tcBorders>
              <w:top w:val="nil"/>
              <w:left w:val="nil"/>
              <w:bottom w:val="nil"/>
              <w:right w:val="nil"/>
            </w:tcBorders>
            <w:tcMar>
              <w:top w:w="0" w:type="dxa"/>
              <w:left w:w="0" w:type="dxa"/>
              <w:bottom w:w="0" w:type="dxa"/>
              <w:right w:w="15" w:type="dxa"/>
            </w:tcMar>
            <w:vAlign w:val="bottom"/>
          </w:tcPr>
          <w:p w14:paraId="10639DAD" w14:textId="77777777" w:rsidR="0008228C" w:rsidRDefault="00193375">
            <w:pPr>
              <w:tabs>
                <w:tab w:val="left" w:pos="746"/>
                <w:tab w:val="left" w:pos="1237"/>
              </w:tabs>
              <w:spacing w:before="53" w:after="30" w:line="300" w:lineRule="auto"/>
              <w:jc w:val="right"/>
            </w:pPr>
            <w:r>
              <w:rPr>
                <w:color w:val="000000"/>
                <w:sz w:val="16"/>
              </w:rPr>
              <w:tab/>
              <w:t>19,746</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8A4C100" w14:textId="77777777" w:rsidR="0008228C" w:rsidRDefault="0008228C"/>
        </w:tc>
        <w:tc>
          <w:tcPr>
            <w:tcW w:w="1305" w:type="dxa"/>
            <w:tcBorders>
              <w:top w:val="nil"/>
              <w:left w:val="single" w:sz="8" w:space="0" w:color="000000"/>
              <w:bottom w:val="single" w:sz="8" w:space="0" w:color="000000"/>
              <w:right w:val="nil"/>
            </w:tcBorders>
            <w:tcMar>
              <w:top w:w="0" w:type="dxa"/>
              <w:left w:w="0" w:type="dxa"/>
              <w:bottom w:w="0" w:type="dxa"/>
              <w:right w:w="15" w:type="dxa"/>
            </w:tcMar>
            <w:vAlign w:val="bottom"/>
          </w:tcPr>
          <w:p w14:paraId="438CFDF5" w14:textId="77777777" w:rsidR="0008228C" w:rsidRDefault="00193375">
            <w:pPr>
              <w:tabs>
                <w:tab w:val="left" w:pos="1"/>
                <w:tab w:val="left" w:pos="416"/>
              </w:tabs>
              <w:spacing w:before="53" w:after="30" w:line="300" w:lineRule="auto"/>
              <w:jc w:val="right"/>
            </w:pPr>
            <w:r>
              <w:rPr>
                <w:color w:val="000000"/>
                <w:sz w:val="16"/>
              </w:rPr>
              <w:tab/>
              <w:t>50.21</w:t>
            </w:r>
            <w:r>
              <w:rPr>
                <w:color w:val="000000"/>
                <w:sz w:val="16"/>
              </w:rPr>
              <w:tab/>
              <w:t>%</w:t>
            </w:r>
          </w:p>
        </w:tc>
        <w:tc>
          <w:tcPr>
            <w:tcW w:w="60" w:type="dxa"/>
            <w:tcBorders>
              <w:top w:val="nil"/>
              <w:left w:val="single" w:sz="8" w:space="0" w:color="000000"/>
              <w:bottom w:val="nil"/>
              <w:right w:val="nil"/>
            </w:tcBorders>
            <w:tcMar>
              <w:top w:w="0" w:type="dxa"/>
              <w:left w:w="0" w:type="dxa"/>
              <w:bottom w:w="0" w:type="dxa"/>
              <w:right w:w="0" w:type="dxa"/>
            </w:tcMar>
            <w:vAlign w:val="bottom"/>
          </w:tcPr>
          <w:p w14:paraId="12F77B7F"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3B49624C"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94CC911" w14:textId="77777777" w:rsidR="0008228C" w:rsidRDefault="0008228C"/>
        </w:tc>
        <w:tc>
          <w:tcPr>
            <w:tcW w:w="1305" w:type="dxa"/>
            <w:tcBorders>
              <w:top w:val="nil"/>
              <w:left w:val="nil"/>
              <w:bottom w:val="nil"/>
              <w:right w:val="nil"/>
            </w:tcBorders>
            <w:tcMar>
              <w:top w:w="0" w:type="dxa"/>
              <w:left w:w="0" w:type="dxa"/>
              <w:bottom w:w="0" w:type="dxa"/>
              <w:right w:w="15" w:type="dxa"/>
            </w:tcMar>
            <w:vAlign w:val="bottom"/>
          </w:tcPr>
          <w:p w14:paraId="61CA4147" w14:textId="77777777" w:rsidR="0008228C" w:rsidRDefault="00193375">
            <w:pPr>
              <w:tabs>
                <w:tab w:val="left" w:pos="746"/>
                <w:tab w:val="left" w:pos="1237"/>
              </w:tabs>
              <w:spacing w:before="53" w:after="30" w:line="300" w:lineRule="auto"/>
              <w:jc w:val="right"/>
            </w:pPr>
            <w:r>
              <w:rPr>
                <w:color w:val="000000"/>
                <w:sz w:val="16"/>
              </w:rPr>
              <w:tab/>
              <w:t>23,886</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27373229" w14:textId="77777777" w:rsidR="0008228C" w:rsidRDefault="0008228C"/>
        </w:tc>
        <w:tc>
          <w:tcPr>
            <w:tcW w:w="1305" w:type="dxa"/>
            <w:tcBorders>
              <w:top w:val="nil"/>
              <w:left w:val="single" w:sz="8" w:space="0" w:color="000000"/>
              <w:bottom w:val="single" w:sz="8" w:space="0" w:color="000000"/>
              <w:right w:val="nil"/>
            </w:tcBorders>
            <w:tcMar>
              <w:top w:w="0" w:type="dxa"/>
              <w:left w:w="0" w:type="dxa"/>
              <w:bottom w:w="0" w:type="dxa"/>
              <w:right w:w="15" w:type="dxa"/>
            </w:tcMar>
            <w:vAlign w:val="bottom"/>
          </w:tcPr>
          <w:p w14:paraId="0B8C21EB" w14:textId="77777777" w:rsidR="0008228C" w:rsidRDefault="00193375">
            <w:pPr>
              <w:tabs>
                <w:tab w:val="left" w:pos="1"/>
                <w:tab w:val="left" w:pos="416"/>
              </w:tabs>
              <w:spacing w:before="53" w:after="30" w:line="300" w:lineRule="auto"/>
              <w:jc w:val="right"/>
            </w:pPr>
            <w:r>
              <w:rPr>
                <w:color w:val="000000"/>
                <w:sz w:val="16"/>
              </w:rPr>
              <w:tab/>
              <w:t>50.42</w:t>
            </w:r>
            <w:r>
              <w:rPr>
                <w:color w:val="000000"/>
                <w:sz w:val="16"/>
              </w:rPr>
              <w:tab/>
              <w:t>%</w:t>
            </w:r>
          </w:p>
        </w:tc>
        <w:tc>
          <w:tcPr>
            <w:tcW w:w="60" w:type="dxa"/>
            <w:tcBorders>
              <w:top w:val="nil"/>
              <w:left w:val="single" w:sz="8" w:space="0" w:color="000000"/>
              <w:bottom w:val="nil"/>
              <w:right w:val="nil"/>
            </w:tcBorders>
            <w:tcMar>
              <w:top w:w="0" w:type="dxa"/>
              <w:left w:w="0" w:type="dxa"/>
              <w:bottom w:w="0" w:type="dxa"/>
              <w:right w:w="0" w:type="dxa"/>
            </w:tcMar>
            <w:vAlign w:val="bottom"/>
          </w:tcPr>
          <w:p w14:paraId="19FDF1BD"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3E2FB06F" w14:textId="77777777" w:rsidR="0008228C" w:rsidRDefault="0008228C"/>
        </w:tc>
      </w:tr>
      <w:tr w:rsidR="0008228C" w14:paraId="7C2CC2F8"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2C78A59B" w14:textId="77777777" w:rsidR="0008228C" w:rsidRDefault="00193375">
            <w:pPr>
              <w:spacing w:line="269" w:lineRule="auto"/>
            </w:pPr>
            <w:r>
              <w:rPr>
                <w:color w:val="000000"/>
                <w:sz w:val="16"/>
              </w:rPr>
              <w:t>Shareholders' equity</w:t>
            </w:r>
          </w:p>
        </w:tc>
        <w:tc>
          <w:tcPr>
            <w:tcW w:w="1305" w:type="dxa"/>
            <w:tcBorders>
              <w:top w:val="nil"/>
              <w:left w:val="nil"/>
              <w:bottom w:val="nil"/>
              <w:right w:val="nil"/>
            </w:tcBorders>
            <w:tcMar>
              <w:top w:w="0" w:type="dxa"/>
              <w:left w:w="0" w:type="dxa"/>
              <w:bottom w:w="0" w:type="dxa"/>
              <w:right w:w="15" w:type="dxa"/>
            </w:tcMar>
            <w:vAlign w:val="bottom"/>
          </w:tcPr>
          <w:p w14:paraId="2B75F291" w14:textId="77777777" w:rsidR="0008228C" w:rsidRDefault="00193375">
            <w:pPr>
              <w:tabs>
                <w:tab w:val="left" w:pos="666"/>
                <w:tab w:val="left" w:pos="1237"/>
              </w:tabs>
              <w:spacing w:before="33" w:after="30" w:line="300" w:lineRule="auto"/>
              <w:jc w:val="right"/>
            </w:pPr>
            <w:r>
              <w:rPr>
                <w:color w:val="000000"/>
                <w:sz w:val="16"/>
              </w:rPr>
              <w:tab/>
              <w:t>247,730</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66E7748C" w14:textId="77777777" w:rsidR="0008228C" w:rsidRDefault="0008228C"/>
        </w:tc>
        <w:tc>
          <w:tcPr>
            <w:tcW w:w="1305" w:type="dxa"/>
            <w:tcBorders>
              <w:top w:val="single" w:sz="8" w:space="0" w:color="000000"/>
              <w:left w:val="nil"/>
              <w:bottom w:val="nil"/>
              <w:right w:val="nil"/>
            </w:tcBorders>
            <w:tcMar>
              <w:top w:w="0" w:type="dxa"/>
              <w:left w:w="0" w:type="dxa"/>
              <w:bottom w:w="0" w:type="dxa"/>
              <w:right w:w="0" w:type="dxa"/>
            </w:tcMar>
            <w:vAlign w:val="bottom"/>
          </w:tcPr>
          <w:p w14:paraId="586F10D3"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7E5530F"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73B02935"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829D063" w14:textId="77777777" w:rsidR="0008228C" w:rsidRDefault="0008228C"/>
        </w:tc>
        <w:tc>
          <w:tcPr>
            <w:tcW w:w="1305" w:type="dxa"/>
            <w:tcBorders>
              <w:top w:val="nil"/>
              <w:left w:val="nil"/>
              <w:bottom w:val="nil"/>
              <w:right w:val="nil"/>
            </w:tcBorders>
            <w:tcMar>
              <w:top w:w="0" w:type="dxa"/>
              <w:left w:w="0" w:type="dxa"/>
              <w:bottom w:w="0" w:type="dxa"/>
              <w:right w:w="15" w:type="dxa"/>
            </w:tcMar>
            <w:vAlign w:val="bottom"/>
          </w:tcPr>
          <w:p w14:paraId="072C42CE" w14:textId="77777777" w:rsidR="0008228C" w:rsidRDefault="00193375">
            <w:pPr>
              <w:tabs>
                <w:tab w:val="left" w:pos="666"/>
                <w:tab w:val="left" w:pos="1237"/>
              </w:tabs>
              <w:spacing w:before="33" w:after="30" w:line="300" w:lineRule="auto"/>
              <w:jc w:val="right"/>
            </w:pPr>
            <w:r>
              <w:rPr>
                <w:color w:val="000000"/>
                <w:sz w:val="16"/>
              </w:rPr>
              <w:tab/>
              <w:t>244,795</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480B8E56" w14:textId="77777777" w:rsidR="0008228C" w:rsidRDefault="0008228C"/>
        </w:tc>
        <w:tc>
          <w:tcPr>
            <w:tcW w:w="1305" w:type="dxa"/>
            <w:tcBorders>
              <w:top w:val="single" w:sz="8" w:space="0" w:color="000000"/>
              <w:left w:val="nil"/>
              <w:bottom w:val="nil"/>
              <w:right w:val="nil"/>
            </w:tcBorders>
            <w:tcMar>
              <w:top w:w="0" w:type="dxa"/>
              <w:left w:w="0" w:type="dxa"/>
              <w:bottom w:w="0" w:type="dxa"/>
              <w:right w:w="0" w:type="dxa"/>
            </w:tcMar>
            <w:vAlign w:val="bottom"/>
          </w:tcPr>
          <w:p w14:paraId="7E60473D"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E99F2BC"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0301EEA4" w14:textId="77777777" w:rsidR="0008228C" w:rsidRDefault="0008228C"/>
        </w:tc>
      </w:tr>
      <w:tr w:rsidR="0008228C" w14:paraId="3DC114FB" w14:textId="77777777">
        <w:trPr>
          <w:cantSplit/>
          <w:trHeight w:hRule="exact" w:val="315"/>
        </w:trPr>
        <w:tc>
          <w:tcPr>
            <w:tcW w:w="2670" w:type="dxa"/>
            <w:tcBorders>
              <w:top w:val="nil"/>
              <w:left w:val="nil"/>
              <w:bottom w:val="nil"/>
              <w:right w:val="nil"/>
            </w:tcBorders>
            <w:tcMar>
              <w:top w:w="0" w:type="dxa"/>
              <w:left w:w="0" w:type="dxa"/>
              <w:bottom w:w="0" w:type="dxa"/>
              <w:right w:w="0" w:type="dxa"/>
            </w:tcMar>
            <w:vAlign w:val="bottom"/>
          </w:tcPr>
          <w:p w14:paraId="5C40A98B" w14:textId="77777777" w:rsidR="0008228C" w:rsidRDefault="0008228C"/>
        </w:tc>
        <w:tc>
          <w:tcPr>
            <w:tcW w:w="1305" w:type="dxa"/>
            <w:tcBorders>
              <w:top w:val="nil"/>
              <w:left w:val="nil"/>
              <w:bottom w:val="single" w:sz="8" w:space="0" w:color="000000"/>
              <w:right w:val="nil"/>
            </w:tcBorders>
            <w:tcMar>
              <w:top w:w="0" w:type="dxa"/>
              <w:left w:w="0" w:type="dxa"/>
              <w:bottom w:w="0" w:type="dxa"/>
              <w:right w:w="15" w:type="dxa"/>
            </w:tcMar>
            <w:vAlign w:val="bottom"/>
          </w:tcPr>
          <w:p w14:paraId="37B5173B"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39491531"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43BEBBB6"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73416D4"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745C7118"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96B9AC2" w14:textId="77777777" w:rsidR="0008228C" w:rsidRDefault="0008228C"/>
        </w:tc>
        <w:tc>
          <w:tcPr>
            <w:tcW w:w="1305" w:type="dxa"/>
            <w:tcBorders>
              <w:top w:val="nil"/>
              <w:left w:val="nil"/>
              <w:bottom w:val="single" w:sz="8" w:space="0" w:color="000000"/>
              <w:right w:val="nil"/>
            </w:tcBorders>
            <w:tcMar>
              <w:top w:w="0" w:type="dxa"/>
              <w:left w:w="0" w:type="dxa"/>
              <w:bottom w:w="0" w:type="dxa"/>
              <w:right w:w="15" w:type="dxa"/>
            </w:tcMar>
            <w:vAlign w:val="bottom"/>
          </w:tcPr>
          <w:p w14:paraId="501CD3D3"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7CF72D33"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318DFEC8"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F73FEDF"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10057E0B" w14:textId="77777777" w:rsidR="0008228C" w:rsidRDefault="0008228C"/>
        </w:tc>
      </w:tr>
      <w:tr w:rsidR="0008228C" w14:paraId="48DDFA55" w14:textId="77777777">
        <w:trPr>
          <w:cantSplit/>
          <w:trHeight w:hRule="exact" w:val="405"/>
        </w:trPr>
        <w:tc>
          <w:tcPr>
            <w:tcW w:w="2670" w:type="dxa"/>
            <w:tcBorders>
              <w:top w:val="nil"/>
              <w:left w:val="nil"/>
              <w:bottom w:val="nil"/>
              <w:right w:val="nil"/>
            </w:tcBorders>
            <w:tcMar>
              <w:top w:w="0" w:type="dxa"/>
              <w:left w:w="53" w:type="dxa"/>
              <w:bottom w:w="0" w:type="dxa"/>
              <w:right w:w="53" w:type="dxa"/>
            </w:tcMar>
            <w:vAlign w:val="center"/>
          </w:tcPr>
          <w:p w14:paraId="334EC8BC" w14:textId="77777777" w:rsidR="0008228C" w:rsidRDefault="00193375">
            <w:pPr>
              <w:spacing w:line="269" w:lineRule="auto"/>
            </w:pPr>
            <w:r>
              <w:rPr>
                <w:b/>
                <w:color w:val="000000"/>
                <w:sz w:val="16"/>
              </w:rPr>
              <w:t>Total Liabilities and Shareholders' Equity</w:t>
            </w:r>
          </w:p>
        </w:tc>
        <w:tc>
          <w:tcPr>
            <w:tcW w:w="13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7077AF2F" w14:textId="77777777" w:rsidR="0008228C" w:rsidRDefault="00193375">
            <w:pPr>
              <w:tabs>
                <w:tab w:val="left" w:pos="546"/>
                <w:tab w:val="left" w:pos="1237"/>
              </w:tabs>
              <w:spacing w:before="33" w:after="30" w:line="300" w:lineRule="auto"/>
              <w:jc w:val="right"/>
            </w:pPr>
            <w:r>
              <w:rPr>
                <w:color w:val="000000"/>
                <w:sz w:val="16"/>
              </w:rPr>
              <w:t>$</w:t>
            </w:r>
            <w:r>
              <w:rPr>
                <w:color w:val="000000"/>
                <w:sz w:val="16"/>
              </w:rPr>
              <w:tab/>
              <w:t>2,259,801</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3A888494"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2252E7D3"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1945D1F"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13C55571"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46B881A" w14:textId="77777777" w:rsidR="0008228C" w:rsidRDefault="0008228C"/>
        </w:tc>
        <w:tc>
          <w:tcPr>
            <w:tcW w:w="1305" w:type="dxa"/>
            <w:tcBorders>
              <w:top w:val="single" w:sz="8" w:space="0" w:color="000000"/>
              <w:left w:val="nil"/>
              <w:bottom w:val="double" w:sz="8" w:space="0" w:color="000000"/>
              <w:right w:val="nil"/>
            </w:tcBorders>
            <w:tcMar>
              <w:top w:w="0" w:type="dxa"/>
              <w:left w:w="0" w:type="dxa"/>
              <w:bottom w:w="0" w:type="dxa"/>
              <w:right w:w="15" w:type="dxa"/>
            </w:tcMar>
            <w:vAlign w:val="bottom"/>
          </w:tcPr>
          <w:p w14:paraId="7C50FBD3" w14:textId="77777777" w:rsidR="0008228C" w:rsidRDefault="00193375">
            <w:pPr>
              <w:tabs>
                <w:tab w:val="left" w:pos="546"/>
                <w:tab w:val="left" w:pos="1237"/>
              </w:tabs>
              <w:spacing w:before="33" w:after="30" w:line="300" w:lineRule="auto"/>
              <w:jc w:val="right"/>
            </w:pPr>
            <w:r>
              <w:rPr>
                <w:color w:val="000000"/>
                <w:sz w:val="16"/>
              </w:rPr>
              <w:t>$</w:t>
            </w:r>
            <w:r>
              <w:rPr>
                <w:color w:val="000000"/>
                <w:sz w:val="16"/>
              </w:rPr>
              <w:tab/>
              <w:t>2,293,377</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49D9B833"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407C61C1"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EBF1229"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0328A210" w14:textId="77777777" w:rsidR="0008228C" w:rsidRDefault="0008228C"/>
        </w:tc>
      </w:tr>
      <w:tr w:rsidR="0008228C" w14:paraId="5CA8F75C" w14:textId="77777777">
        <w:trPr>
          <w:cantSplit/>
          <w:trHeight w:hRule="exact" w:val="225"/>
        </w:trPr>
        <w:tc>
          <w:tcPr>
            <w:tcW w:w="2670" w:type="dxa"/>
            <w:tcBorders>
              <w:top w:val="nil"/>
              <w:left w:val="nil"/>
              <w:bottom w:val="nil"/>
              <w:right w:val="nil"/>
            </w:tcBorders>
            <w:tcMar>
              <w:top w:w="0" w:type="dxa"/>
              <w:left w:w="0" w:type="dxa"/>
              <w:bottom w:w="0" w:type="dxa"/>
              <w:right w:w="0" w:type="dxa"/>
            </w:tcMar>
            <w:vAlign w:val="bottom"/>
          </w:tcPr>
          <w:p w14:paraId="06D96367" w14:textId="77777777" w:rsidR="0008228C" w:rsidRDefault="0008228C"/>
        </w:tc>
        <w:tc>
          <w:tcPr>
            <w:tcW w:w="1305" w:type="dxa"/>
            <w:tcBorders>
              <w:top w:val="double" w:sz="8" w:space="0" w:color="000000"/>
              <w:left w:val="nil"/>
              <w:bottom w:val="nil"/>
              <w:right w:val="nil"/>
            </w:tcBorders>
            <w:tcMar>
              <w:top w:w="0" w:type="dxa"/>
              <w:left w:w="0" w:type="dxa"/>
              <w:bottom w:w="0" w:type="dxa"/>
              <w:right w:w="0" w:type="dxa"/>
            </w:tcMar>
            <w:vAlign w:val="bottom"/>
          </w:tcPr>
          <w:p w14:paraId="5CC72CB3"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00AB767"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162AC53C"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1DD47F9"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211EBF46"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39CB387" w14:textId="77777777" w:rsidR="0008228C" w:rsidRDefault="0008228C"/>
        </w:tc>
        <w:tc>
          <w:tcPr>
            <w:tcW w:w="1305" w:type="dxa"/>
            <w:tcBorders>
              <w:top w:val="double" w:sz="8" w:space="0" w:color="000000"/>
              <w:left w:val="nil"/>
              <w:bottom w:val="nil"/>
              <w:right w:val="nil"/>
            </w:tcBorders>
            <w:tcMar>
              <w:top w:w="0" w:type="dxa"/>
              <w:left w:w="0" w:type="dxa"/>
              <w:bottom w:w="0" w:type="dxa"/>
              <w:right w:w="0" w:type="dxa"/>
            </w:tcMar>
            <w:vAlign w:val="bottom"/>
          </w:tcPr>
          <w:p w14:paraId="1DA01D62"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293FC30"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223E9122"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5529B12"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5D13D396" w14:textId="77777777" w:rsidR="0008228C" w:rsidRDefault="0008228C"/>
        </w:tc>
      </w:tr>
      <w:tr w:rsidR="0008228C" w14:paraId="4DAA1C8A"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59266467" w14:textId="77777777" w:rsidR="0008228C" w:rsidRDefault="00193375">
            <w:pPr>
              <w:spacing w:line="269" w:lineRule="auto"/>
            </w:pPr>
            <w:r>
              <w:rPr>
                <w:color w:val="000000"/>
                <w:sz w:val="16"/>
              </w:rPr>
              <w:t>Net interest spread</w:t>
            </w:r>
          </w:p>
        </w:tc>
        <w:tc>
          <w:tcPr>
            <w:tcW w:w="1305" w:type="dxa"/>
            <w:tcBorders>
              <w:top w:val="nil"/>
              <w:left w:val="nil"/>
              <w:bottom w:val="nil"/>
              <w:right w:val="nil"/>
            </w:tcBorders>
            <w:tcMar>
              <w:top w:w="0" w:type="dxa"/>
              <w:left w:w="0" w:type="dxa"/>
              <w:bottom w:w="0" w:type="dxa"/>
              <w:right w:w="0" w:type="dxa"/>
            </w:tcMar>
            <w:vAlign w:val="bottom"/>
          </w:tcPr>
          <w:p w14:paraId="30E6B769"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E16F184" w14:textId="77777777" w:rsidR="0008228C" w:rsidRDefault="0008228C"/>
        </w:tc>
        <w:tc>
          <w:tcPr>
            <w:tcW w:w="1305" w:type="dxa"/>
            <w:tcBorders>
              <w:top w:val="nil"/>
              <w:left w:val="nil"/>
              <w:bottom w:val="nil"/>
              <w:right w:val="nil"/>
            </w:tcBorders>
            <w:tcMar>
              <w:top w:w="0" w:type="dxa"/>
              <w:left w:w="53" w:type="dxa"/>
              <w:bottom w:w="0" w:type="dxa"/>
              <w:right w:w="53" w:type="dxa"/>
            </w:tcMar>
            <w:vAlign w:val="center"/>
          </w:tcPr>
          <w:p w14:paraId="713C1B88" w14:textId="77777777" w:rsidR="0008228C" w:rsidRDefault="0008228C">
            <w:pPr>
              <w:spacing w:line="300" w:lineRule="auto"/>
            </w:pPr>
          </w:p>
        </w:tc>
        <w:tc>
          <w:tcPr>
            <w:tcW w:w="60" w:type="dxa"/>
            <w:tcBorders>
              <w:top w:val="nil"/>
              <w:left w:val="nil"/>
              <w:bottom w:val="nil"/>
              <w:right w:val="nil"/>
            </w:tcBorders>
            <w:tcMar>
              <w:top w:w="0" w:type="dxa"/>
              <w:left w:w="53" w:type="dxa"/>
              <w:bottom w:w="0" w:type="dxa"/>
              <w:right w:w="53" w:type="dxa"/>
            </w:tcMar>
            <w:vAlign w:val="center"/>
          </w:tcPr>
          <w:p w14:paraId="29F934A8" w14:textId="77777777" w:rsidR="0008228C" w:rsidRDefault="0008228C">
            <w:pPr>
              <w:spacing w:line="300" w:lineRule="auto"/>
            </w:pPr>
          </w:p>
        </w:tc>
        <w:tc>
          <w:tcPr>
            <w:tcW w:w="1305" w:type="dxa"/>
            <w:tcBorders>
              <w:top w:val="nil"/>
              <w:left w:val="nil"/>
              <w:bottom w:val="nil"/>
              <w:right w:val="nil"/>
            </w:tcBorders>
            <w:tcMar>
              <w:top w:w="0" w:type="dxa"/>
              <w:left w:w="0" w:type="dxa"/>
              <w:bottom w:w="0" w:type="dxa"/>
              <w:right w:w="15" w:type="dxa"/>
            </w:tcMar>
            <w:vAlign w:val="bottom"/>
          </w:tcPr>
          <w:p w14:paraId="5865DB6F" w14:textId="77777777" w:rsidR="0008228C" w:rsidRDefault="00193375">
            <w:pPr>
              <w:tabs>
                <w:tab w:val="left" w:pos="1"/>
                <w:tab w:val="left" w:pos="336"/>
              </w:tabs>
              <w:spacing w:before="53" w:after="30" w:line="300" w:lineRule="auto"/>
              <w:jc w:val="right"/>
            </w:pPr>
            <w:r>
              <w:rPr>
                <w:color w:val="000000"/>
                <w:sz w:val="16"/>
              </w:rPr>
              <w:tab/>
              <w:t>3.26</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56A01953"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56F8637C"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15" w:type="dxa"/>
            </w:tcMar>
            <w:vAlign w:val="bottom"/>
          </w:tcPr>
          <w:p w14:paraId="120D8030"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2AFB79BF"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0C7A52BB"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4BC48834" w14:textId="77777777" w:rsidR="0008228C" w:rsidRDefault="00193375">
            <w:pPr>
              <w:tabs>
                <w:tab w:val="left" w:pos="1"/>
                <w:tab w:val="left" w:pos="336"/>
              </w:tabs>
              <w:spacing w:before="53" w:after="30" w:line="300" w:lineRule="auto"/>
              <w:jc w:val="right"/>
            </w:pPr>
            <w:r>
              <w:rPr>
                <w:color w:val="000000"/>
                <w:sz w:val="16"/>
              </w:rPr>
              <w:tab/>
              <w:t>3.58</w:t>
            </w:r>
            <w:r>
              <w:rPr>
                <w:color w:val="000000"/>
                <w:sz w:val="16"/>
              </w:rPr>
              <w:tab/>
              <w:t>%</w:t>
            </w:r>
          </w:p>
        </w:tc>
      </w:tr>
      <w:tr w:rsidR="0008228C" w14:paraId="33925E70"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1215B852" w14:textId="77777777" w:rsidR="0008228C" w:rsidRDefault="00193375">
            <w:pPr>
              <w:spacing w:line="269" w:lineRule="auto"/>
            </w:pPr>
            <w:r>
              <w:rPr>
                <w:b/>
                <w:color w:val="000000"/>
                <w:sz w:val="16"/>
              </w:rPr>
              <w:t>Net interest income and margin</w:t>
            </w:r>
          </w:p>
        </w:tc>
        <w:tc>
          <w:tcPr>
            <w:tcW w:w="1305" w:type="dxa"/>
            <w:tcBorders>
              <w:top w:val="nil"/>
              <w:left w:val="nil"/>
              <w:bottom w:val="nil"/>
              <w:right w:val="nil"/>
            </w:tcBorders>
            <w:tcMar>
              <w:top w:w="0" w:type="dxa"/>
              <w:left w:w="0" w:type="dxa"/>
              <w:bottom w:w="0" w:type="dxa"/>
              <w:right w:w="0" w:type="dxa"/>
            </w:tcMar>
            <w:vAlign w:val="bottom"/>
          </w:tcPr>
          <w:p w14:paraId="664CE1A0"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E78AE0A" w14:textId="77777777" w:rsidR="0008228C" w:rsidRDefault="0008228C"/>
        </w:tc>
        <w:tc>
          <w:tcPr>
            <w:tcW w:w="1305" w:type="dxa"/>
            <w:tcBorders>
              <w:top w:val="nil"/>
              <w:left w:val="nil"/>
              <w:bottom w:val="double" w:sz="8" w:space="0" w:color="000000"/>
              <w:right w:val="nil"/>
            </w:tcBorders>
            <w:tcMar>
              <w:top w:w="0" w:type="dxa"/>
              <w:left w:w="0" w:type="dxa"/>
              <w:bottom w:w="0" w:type="dxa"/>
              <w:right w:w="15" w:type="dxa"/>
            </w:tcMar>
            <w:vAlign w:val="bottom"/>
          </w:tcPr>
          <w:p w14:paraId="66B97339" w14:textId="77777777" w:rsidR="0008228C" w:rsidRDefault="00193375">
            <w:pPr>
              <w:tabs>
                <w:tab w:val="left" w:pos="612"/>
                <w:tab w:val="left" w:pos="1237"/>
              </w:tabs>
              <w:spacing w:before="53" w:after="30" w:line="300" w:lineRule="auto"/>
              <w:jc w:val="right"/>
            </w:pPr>
            <w:r>
              <w:rPr>
                <w:color w:val="000000"/>
                <w:sz w:val="16"/>
              </w:rPr>
              <w:t>$</w:t>
            </w:r>
            <w:r>
              <w:rPr>
                <w:color w:val="000000"/>
                <w:sz w:val="16"/>
              </w:rPr>
              <w:tab/>
              <w:t>17,795</w:t>
            </w:r>
            <w:r>
              <w:rPr>
                <w:color w:val="000000"/>
                <w:sz w:val="16"/>
              </w:rPr>
              <w:tab/>
            </w:r>
          </w:p>
        </w:tc>
        <w:tc>
          <w:tcPr>
            <w:tcW w:w="60" w:type="dxa"/>
            <w:tcBorders>
              <w:top w:val="nil"/>
              <w:left w:val="nil"/>
              <w:bottom w:val="nil"/>
              <w:right w:val="nil"/>
            </w:tcBorders>
            <w:tcMar>
              <w:top w:w="0" w:type="dxa"/>
              <w:left w:w="0" w:type="dxa"/>
              <w:bottom w:w="0" w:type="dxa"/>
              <w:right w:w="53" w:type="dxa"/>
            </w:tcMar>
            <w:vAlign w:val="center"/>
          </w:tcPr>
          <w:p w14:paraId="73863762" w14:textId="77777777" w:rsidR="0008228C" w:rsidRDefault="0008228C">
            <w:pPr>
              <w:spacing w:line="269" w:lineRule="auto"/>
              <w:jc w:val="right"/>
            </w:pPr>
          </w:p>
        </w:tc>
        <w:tc>
          <w:tcPr>
            <w:tcW w:w="1305" w:type="dxa"/>
            <w:tcBorders>
              <w:top w:val="nil"/>
              <w:left w:val="nil"/>
              <w:bottom w:val="double" w:sz="8" w:space="0" w:color="000000"/>
              <w:right w:val="nil"/>
            </w:tcBorders>
            <w:tcMar>
              <w:top w:w="0" w:type="dxa"/>
              <w:left w:w="0" w:type="dxa"/>
              <w:bottom w:w="0" w:type="dxa"/>
              <w:right w:w="15" w:type="dxa"/>
            </w:tcMar>
            <w:vAlign w:val="bottom"/>
          </w:tcPr>
          <w:p w14:paraId="7F079718" w14:textId="77777777" w:rsidR="0008228C" w:rsidRDefault="00193375">
            <w:pPr>
              <w:tabs>
                <w:tab w:val="left" w:pos="1"/>
                <w:tab w:val="left" w:pos="336"/>
              </w:tabs>
              <w:spacing w:before="53" w:after="30" w:line="300" w:lineRule="auto"/>
              <w:jc w:val="right"/>
            </w:pPr>
            <w:r>
              <w:rPr>
                <w:color w:val="000000"/>
                <w:sz w:val="16"/>
              </w:rPr>
              <w:tab/>
              <w:t>3.40</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center"/>
          </w:tcPr>
          <w:p w14:paraId="613C7485" w14:textId="77777777" w:rsidR="0008228C" w:rsidRDefault="0008228C">
            <w:pPr>
              <w:spacing w:line="269" w:lineRule="auto"/>
              <w:jc w:val="right"/>
            </w:pPr>
          </w:p>
        </w:tc>
        <w:tc>
          <w:tcPr>
            <w:tcW w:w="1305" w:type="dxa"/>
            <w:tcBorders>
              <w:top w:val="nil"/>
              <w:left w:val="nil"/>
              <w:bottom w:val="nil"/>
              <w:right w:val="nil"/>
            </w:tcBorders>
            <w:tcMar>
              <w:top w:w="0" w:type="dxa"/>
              <w:left w:w="0" w:type="dxa"/>
              <w:bottom w:w="0" w:type="dxa"/>
              <w:right w:w="53" w:type="dxa"/>
            </w:tcMar>
            <w:vAlign w:val="center"/>
          </w:tcPr>
          <w:p w14:paraId="674EF572" w14:textId="77777777" w:rsidR="0008228C" w:rsidRDefault="0008228C">
            <w:pPr>
              <w:spacing w:line="300" w:lineRule="auto"/>
              <w:jc w:val="right"/>
            </w:pPr>
          </w:p>
        </w:tc>
        <w:tc>
          <w:tcPr>
            <w:tcW w:w="60" w:type="dxa"/>
            <w:tcBorders>
              <w:top w:val="nil"/>
              <w:left w:val="nil"/>
              <w:bottom w:val="nil"/>
              <w:right w:val="nil"/>
            </w:tcBorders>
            <w:tcMar>
              <w:top w:w="0" w:type="dxa"/>
              <w:left w:w="0" w:type="dxa"/>
              <w:bottom w:w="0" w:type="dxa"/>
              <w:right w:w="53" w:type="dxa"/>
            </w:tcMar>
            <w:vAlign w:val="center"/>
          </w:tcPr>
          <w:p w14:paraId="5B2AFC2A" w14:textId="77777777" w:rsidR="0008228C" w:rsidRDefault="0008228C">
            <w:pPr>
              <w:spacing w:line="300" w:lineRule="auto"/>
              <w:jc w:val="right"/>
            </w:pPr>
          </w:p>
        </w:tc>
        <w:tc>
          <w:tcPr>
            <w:tcW w:w="1305" w:type="dxa"/>
            <w:tcBorders>
              <w:top w:val="nil"/>
              <w:left w:val="nil"/>
              <w:bottom w:val="double" w:sz="8" w:space="0" w:color="000000"/>
              <w:right w:val="nil"/>
            </w:tcBorders>
            <w:tcMar>
              <w:top w:w="0" w:type="dxa"/>
              <w:left w:w="0" w:type="dxa"/>
              <w:bottom w:w="0" w:type="dxa"/>
              <w:right w:w="15" w:type="dxa"/>
            </w:tcMar>
            <w:vAlign w:val="bottom"/>
          </w:tcPr>
          <w:p w14:paraId="1B18CABA" w14:textId="77777777" w:rsidR="0008228C" w:rsidRDefault="00193375">
            <w:pPr>
              <w:tabs>
                <w:tab w:val="left" w:pos="612"/>
                <w:tab w:val="left" w:pos="1237"/>
              </w:tabs>
              <w:spacing w:before="53" w:after="30" w:line="300" w:lineRule="auto"/>
              <w:jc w:val="right"/>
            </w:pPr>
            <w:r>
              <w:rPr>
                <w:color w:val="000000"/>
                <w:sz w:val="16"/>
              </w:rPr>
              <w:t>$</w:t>
            </w:r>
            <w:r>
              <w:rPr>
                <w:color w:val="000000"/>
                <w:sz w:val="16"/>
              </w:rPr>
              <w:tab/>
              <w:t>20,333</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2125F187" w14:textId="77777777" w:rsidR="0008228C" w:rsidRDefault="0008228C">
            <w:pPr>
              <w:spacing w:before="53" w:after="30" w:line="300" w:lineRule="auto"/>
              <w:jc w:val="right"/>
            </w:pPr>
          </w:p>
        </w:tc>
        <w:tc>
          <w:tcPr>
            <w:tcW w:w="1305" w:type="dxa"/>
            <w:tcBorders>
              <w:top w:val="nil"/>
              <w:left w:val="nil"/>
              <w:bottom w:val="double" w:sz="8" w:space="0" w:color="000000"/>
              <w:right w:val="nil"/>
            </w:tcBorders>
            <w:tcMar>
              <w:top w:w="0" w:type="dxa"/>
              <w:left w:w="0" w:type="dxa"/>
              <w:bottom w:w="0" w:type="dxa"/>
              <w:right w:w="15" w:type="dxa"/>
            </w:tcMar>
            <w:vAlign w:val="bottom"/>
          </w:tcPr>
          <w:p w14:paraId="47AF851C" w14:textId="77777777" w:rsidR="0008228C" w:rsidRDefault="00193375">
            <w:pPr>
              <w:tabs>
                <w:tab w:val="left" w:pos="1"/>
                <w:tab w:val="left" w:pos="336"/>
              </w:tabs>
              <w:spacing w:before="53" w:after="30" w:line="300" w:lineRule="auto"/>
              <w:jc w:val="right"/>
            </w:pPr>
            <w:r>
              <w:rPr>
                <w:color w:val="000000"/>
                <w:sz w:val="16"/>
              </w:rPr>
              <w:tab/>
              <w:t>3.74</w:t>
            </w:r>
            <w:r>
              <w:rPr>
                <w:color w:val="000000"/>
                <w:sz w:val="16"/>
              </w:rPr>
              <w:tab/>
              <w:t>%</w:t>
            </w:r>
          </w:p>
        </w:tc>
      </w:tr>
      <w:tr w:rsidR="0008228C" w14:paraId="0A65BD46" w14:textId="77777777">
        <w:trPr>
          <w:cantSplit/>
          <w:trHeight w:hRule="exact" w:val="420"/>
        </w:trPr>
        <w:tc>
          <w:tcPr>
            <w:tcW w:w="2670" w:type="dxa"/>
            <w:tcBorders>
              <w:top w:val="nil"/>
              <w:left w:val="nil"/>
              <w:bottom w:val="nil"/>
              <w:right w:val="nil"/>
            </w:tcBorders>
            <w:tcMar>
              <w:top w:w="0" w:type="dxa"/>
              <w:left w:w="53" w:type="dxa"/>
              <w:bottom w:w="0" w:type="dxa"/>
              <w:right w:w="53" w:type="dxa"/>
            </w:tcMar>
            <w:vAlign w:val="center"/>
          </w:tcPr>
          <w:p w14:paraId="113DAB4F" w14:textId="77777777" w:rsidR="0008228C" w:rsidRDefault="00193375">
            <w:pPr>
              <w:spacing w:line="269" w:lineRule="auto"/>
            </w:pPr>
            <w:r>
              <w:rPr>
                <w:color w:val="000000"/>
                <w:sz w:val="16"/>
              </w:rPr>
              <w:t>Net interest income and margin excluding PPP</w:t>
            </w:r>
          </w:p>
        </w:tc>
        <w:tc>
          <w:tcPr>
            <w:tcW w:w="1305" w:type="dxa"/>
            <w:tcBorders>
              <w:top w:val="nil"/>
              <w:left w:val="nil"/>
              <w:bottom w:val="nil"/>
              <w:right w:val="nil"/>
            </w:tcBorders>
            <w:tcMar>
              <w:top w:w="0" w:type="dxa"/>
              <w:left w:w="0" w:type="dxa"/>
              <w:bottom w:w="0" w:type="dxa"/>
              <w:right w:w="0" w:type="dxa"/>
            </w:tcMar>
            <w:vAlign w:val="bottom"/>
          </w:tcPr>
          <w:p w14:paraId="05E1A728"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CD65883" w14:textId="77777777" w:rsidR="0008228C" w:rsidRDefault="0008228C"/>
        </w:tc>
        <w:tc>
          <w:tcPr>
            <w:tcW w:w="1305" w:type="dxa"/>
            <w:tcBorders>
              <w:top w:val="double" w:sz="8" w:space="0" w:color="000000"/>
              <w:left w:val="nil"/>
              <w:bottom w:val="nil"/>
              <w:right w:val="nil"/>
            </w:tcBorders>
            <w:tcMar>
              <w:top w:w="0" w:type="dxa"/>
              <w:left w:w="0" w:type="dxa"/>
              <w:bottom w:w="0" w:type="dxa"/>
              <w:right w:w="15" w:type="dxa"/>
            </w:tcMar>
            <w:vAlign w:val="bottom"/>
          </w:tcPr>
          <w:p w14:paraId="060E6F29" w14:textId="77777777" w:rsidR="0008228C" w:rsidRDefault="00193375">
            <w:pPr>
              <w:tabs>
                <w:tab w:val="left" w:pos="612"/>
                <w:tab w:val="left" w:pos="1237"/>
              </w:tabs>
              <w:spacing w:after="30" w:line="300" w:lineRule="auto"/>
              <w:jc w:val="right"/>
            </w:pPr>
            <w:r>
              <w:rPr>
                <w:color w:val="000000"/>
                <w:sz w:val="16"/>
              </w:rPr>
              <w:t>$</w:t>
            </w:r>
            <w:r>
              <w:rPr>
                <w:color w:val="000000"/>
                <w:sz w:val="16"/>
              </w:rPr>
              <w:tab/>
              <w:t>16,473</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72CB3C00" w14:textId="77777777" w:rsidR="0008228C" w:rsidRDefault="0008228C">
            <w:pPr>
              <w:spacing w:after="30" w:line="300" w:lineRule="auto"/>
              <w:jc w:val="right"/>
            </w:pPr>
          </w:p>
        </w:tc>
        <w:tc>
          <w:tcPr>
            <w:tcW w:w="1305" w:type="dxa"/>
            <w:tcBorders>
              <w:top w:val="double" w:sz="8" w:space="0" w:color="000000"/>
              <w:left w:val="nil"/>
              <w:bottom w:val="nil"/>
              <w:right w:val="nil"/>
            </w:tcBorders>
            <w:tcMar>
              <w:top w:w="0" w:type="dxa"/>
              <w:left w:w="0" w:type="dxa"/>
              <w:bottom w:w="0" w:type="dxa"/>
              <w:right w:w="15" w:type="dxa"/>
            </w:tcMar>
            <w:vAlign w:val="bottom"/>
          </w:tcPr>
          <w:p w14:paraId="79C9D078" w14:textId="77777777" w:rsidR="0008228C" w:rsidRDefault="00193375">
            <w:pPr>
              <w:tabs>
                <w:tab w:val="left" w:pos="1"/>
                <w:tab w:val="left" w:pos="336"/>
              </w:tabs>
              <w:spacing w:after="30" w:line="300" w:lineRule="auto"/>
              <w:jc w:val="right"/>
            </w:pPr>
            <w:r>
              <w:rPr>
                <w:color w:val="000000"/>
                <w:sz w:val="16"/>
              </w:rPr>
              <w:tab/>
              <w:t>3.20</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4E4F9131" w14:textId="77777777" w:rsidR="0008228C" w:rsidRDefault="0008228C">
            <w:pPr>
              <w:spacing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5D81D98B" w14:textId="77777777" w:rsidR="0008228C" w:rsidRDefault="0008228C">
            <w:pPr>
              <w:spacing w:after="30" w:line="300" w:lineRule="auto"/>
              <w:jc w:val="right"/>
            </w:pPr>
          </w:p>
        </w:tc>
        <w:tc>
          <w:tcPr>
            <w:tcW w:w="60" w:type="dxa"/>
            <w:tcBorders>
              <w:top w:val="nil"/>
              <w:left w:val="nil"/>
              <w:bottom w:val="nil"/>
              <w:right w:val="nil"/>
            </w:tcBorders>
            <w:tcMar>
              <w:top w:w="0" w:type="dxa"/>
              <w:left w:w="0" w:type="dxa"/>
              <w:bottom w:w="0" w:type="dxa"/>
              <w:right w:w="15" w:type="dxa"/>
            </w:tcMar>
            <w:vAlign w:val="bottom"/>
          </w:tcPr>
          <w:p w14:paraId="5983940B" w14:textId="77777777" w:rsidR="0008228C" w:rsidRDefault="0008228C">
            <w:pPr>
              <w:spacing w:after="30" w:line="300" w:lineRule="auto"/>
              <w:jc w:val="right"/>
            </w:pPr>
          </w:p>
        </w:tc>
        <w:tc>
          <w:tcPr>
            <w:tcW w:w="1305" w:type="dxa"/>
            <w:tcBorders>
              <w:top w:val="double" w:sz="8" w:space="0" w:color="000000"/>
              <w:left w:val="nil"/>
              <w:bottom w:val="nil"/>
              <w:right w:val="nil"/>
            </w:tcBorders>
            <w:tcMar>
              <w:top w:w="0" w:type="dxa"/>
              <w:left w:w="0" w:type="dxa"/>
              <w:bottom w:w="0" w:type="dxa"/>
              <w:right w:w="15" w:type="dxa"/>
            </w:tcMar>
            <w:vAlign w:val="bottom"/>
          </w:tcPr>
          <w:p w14:paraId="27D34F13" w14:textId="77777777" w:rsidR="0008228C" w:rsidRDefault="00193375">
            <w:pPr>
              <w:tabs>
                <w:tab w:val="left" w:pos="612"/>
                <w:tab w:val="left" w:pos="1237"/>
              </w:tabs>
              <w:spacing w:after="30" w:line="300" w:lineRule="auto"/>
              <w:jc w:val="right"/>
            </w:pPr>
            <w:r>
              <w:rPr>
                <w:color w:val="000000"/>
                <w:sz w:val="16"/>
              </w:rPr>
              <w:t>$</w:t>
            </w:r>
            <w:r>
              <w:rPr>
                <w:color w:val="000000"/>
                <w:sz w:val="16"/>
              </w:rPr>
              <w:tab/>
              <w:t>15,537</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708D6703" w14:textId="77777777" w:rsidR="0008228C" w:rsidRDefault="0008228C">
            <w:pPr>
              <w:spacing w:after="30" w:line="300" w:lineRule="auto"/>
              <w:jc w:val="right"/>
            </w:pPr>
          </w:p>
        </w:tc>
        <w:tc>
          <w:tcPr>
            <w:tcW w:w="1305" w:type="dxa"/>
            <w:tcBorders>
              <w:top w:val="double" w:sz="8" w:space="0" w:color="000000"/>
              <w:left w:val="nil"/>
              <w:bottom w:val="nil"/>
              <w:right w:val="nil"/>
            </w:tcBorders>
            <w:tcMar>
              <w:top w:w="0" w:type="dxa"/>
              <w:left w:w="0" w:type="dxa"/>
              <w:bottom w:w="0" w:type="dxa"/>
              <w:right w:w="15" w:type="dxa"/>
            </w:tcMar>
            <w:vAlign w:val="bottom"/>
          </w:tcPr>
          <w:p w14:paraId="7BB5D97E" w14:textId="77777777" w:rsidR="0008228C" w:rsidRDefault="00193375">
            <w:pPr>
              <w:tabs>
                <w:tab w:val="left" w:pos="1"/>
                <w:tab w:val="left" w:pos="336"/>
              </w:tabs>
              <w:spacing w:after="30" w:line="300" w:lineRule="auto"/>
              <w:jc w:val="right"/>
            </w:pPr>
            <w:r>
              <w:rPr>
                <w:color w:val="000000"/>
                <w:sz w:val="16"/>
              </w:rPr>
              <w:tab/>
              <w:t>3.03</w:t>
            </w:r>
            <w:r>
              <w:rPr>
                <w:color w:val="000000"/>
                <w:sz w:val="16"/>
              </w:rPr>
              <w:tab/>
              <w:t>%</w:t>
            </w:r>
          </w:p>
        </w:tc>
      </w:tr>
      <w:tr w:rsidR="0008228C" w14:paraId="247CFBB0"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7C1ADBB3" w14:textId="77777777" w:rsidR="0008228C" w:rsidRDefault="00193375">
            <w:pPr>
              <w:spacing w:line="269" w:lineRule="auto"/>
            </w:pPr>
            <w:r>
              <w:rPr>
                <w:color w:val="000000"/>
                <w:sz w:val="16"/>
              </w:rPr>
              <w:t>Cost of deposits</w:t>
            </w:r>
          </w:p>
        </w:tc>
        <w:tc>
          <w:tcPr>
            <w:tcW w:w="1305" w:type="dxa"/>
            <w:tcBorders>
              <w:top w:val="nil"/>
              <w:left w:val="nil"/>
              <w:bottom w:val="nil"/>
              <w:right w:val="nil"/>
            </w:tcBorders>
            <w:tcMar>
              <w:top w:w="0" w:type="dxa"/>
              <w:left w:w="0" w:type="dxa"/>
              <w:bottom w:w="0" w:type="dxa"/>
              <w:right w:w="0" w:type="dxa"/>
            </w:tcMar>
            <w:vAlign w:val="bottom"/>
          </w:tcPr>
          <w:p w14:paraId="2D6B67DA"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C7BD98F" w14:textId="77777777" w:rsidR="0008228C" w:rsidRDefault="0008228C"/>
        </w:tc>
        <w:tc>
          <w:tcPr>
            <w:tcW w:w="1305" w:type="dxa"/>
            <w:tcBorders>
              <w:top w:val="nil"/>
              <w:left w:val="nil"/>
              <w:bottom w:val="nil"/>
              <w:right w:val="nil"/>
            </w:tcBorders>
            <w:tcMar>
              <w:top w:w="0" w:type="dxa"/>
              <w:left w:w="0" w:type="dxa"/>
              <w:bottom w:w="0" w:type="dxa"/>
              <w:right w:w="15" w:type="dxa"/>
            </w:tcMar>
            <w:vAlign w:val="bottom"/>
          </w:tcPr>
          <w:p w14:paraId="065601BE"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2C8D91BE"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4E1CF6F2" w14:textId="77777777" w:rsidR="0008228C" w:rsidRDefault="00193375">
            <w:pPr>
              <w:tabs>
                <w:tab w:val="left" w:pos="1"/>
                <w:tab w:val="left" w:pos="336"/>
              </w:tabs>
              <w:spacing w:before="53" w:after="30" w:line="300" w:lineRule="auto"/>
              <w:jc w:val="right"/>
            </w:pPr>
            <w:r>
              <w:rPr>
                <w:color w:val="000000"/>
                <w:sz w:val="16"/>
              </w:rPr>
              <w:tab/>
              <w:t>0.08</w:t>
            </w:r>
            <w:r>
              <w:rPr>
                <w:color w:val="000000"/>
                <w:sz w:val="16"/>
              </w:rPr>
              <w:tab/>
              <w:t>%</w:t>
            </w:r>
          </w:p>
        </w:tc>
        <w:tc>
          <w:tcPr>
            <w:tcW w:w="60" w:type="dxa"/>
            <w:tcBorders>
              <w:top w:val="nil"/>
              <w:left w:val="nil"/>
              <w:bottom w:val="nil"/>
              <w:right w:val="nil"/>
            </w:tcBorders>
            <w:tcMar>
              <w:top w:w="0" w:type="dxa"/>
              <w:left w:w="0" w:type="dxa"/>
              <w:bottom w:w="0" w:type="dxa"/>
              <w:right w:w="15" w:type="dxa"/>
            </w:tcMar>
            <w:vAlign w:val="bottom"/>
          </w:tcPr>
          <w:p w14:paraId="483A8259"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7A76169"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3B509ACA"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1E4F0037"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57C806BC"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2FB74273" w14:textId="77777777" w:rsidR="0008228C" w:rsidRDefault="00193375">
            <w:pPr>
              <w:tabs>
                <w:tab w:val="left" w:pos="1"/>
                <w:tab w:val="left" w:pos="336"/>
              </w:tabs>
              <w:spacing w:before="53" w:after="30" w:line="300" w:lineRule="auto"/>
              <w:jc w:val="right"/>
            </w:pPr>
            <w:r>
              <w:rPr>
                <w:color w:val="000000"/>
                <w:sz w:val="16"/>
              </w:rPr>
              <w:tab/>
              <w:t>0.09</w:t>
            </w:r>
            <w:r>
              <w:rPr>
                <w:color w:val="000000"/>
                <w:sz w:val="16"/>
              </w:rPr>
              <w:tab/>
              <w:t>%</w:t>
            </w:r>
          </w:p>
        </w:tc>
      </w:tr>
      <w:tr w:rsidR="0008228C" w14:paraId="6CEA3BB7" w14:textId="77777777">
        <w:trPr>
          <w:cantSplit/>
          <w:trHeight w:hRule="exact" w:val="240"/>
        </w:trPr>
        <w:tc>
          <w:tcPr>
            <w:tcW w:w="2670" w:type="dxa"/>
            <w:tcBorders>
              <w:top w:val="nil"/>
              <w:left w:val="nil"/>
              <w:bottom w:val="nil"/>
              <w:right w:val="nil"/>
            </w:tcBorders>
            <w:tcMar>
              <w:top w:w="0" w:type="dxa"/>
              <w:left w:w="53" w:type="dxa"/>
              <w:bottom w:w="0" w:type="dxa"/>
              <w:right w:w="53" w:type="dxa"/>
            </w:tcMar>
            <w:vAlign w:val="center"/>
          </w:tcPr>
          <w:p w14:paraId="69D05478" w14:textId="77777777" w:rsidR="0008228C" w:rsidRDefault="00193375">
            <w:pPr>
              <w:spacing w:line="269" w:lineRule="auto"/>
            </w:pPr>
            <w:r>
              <w:rPr>
                <w:color w:val="000000"/>
                <w:sz w:val="16"/>
              </w:rPr>
              <w:t>Cost of funds</w:t>
            </w:r>
          </w:p>
        </w:tc>
        <w:tc>
          <w:tcPr>
            <w:tcW w:w="1305" w:type="dxa"/>
            <w:tcBorders>
              <w:top w:val="nil"/>
              <w:left w:val="nil"/>
              <w:bottom w:val="nil"/>
              <w:right w:val="nil"/>
            </w:tcBorders>
            <w:tcMar>
              <w:top w:w="0" w:type="dxa"/>
              <w:left w:w="0" w:type="dxa"/>
              <w:bottom w:w="0" w:type="dxa"/>
              <w:right w:w="0" w:type="dxa"/>
            </w:tcMar>
            <w:vAlign w:val="bottom"/>
          </w:tcPr>
          <w:p w14:paraId="78456F02"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AC0A3C1" w14:textId="77777777" w:rsidR="0008228C" w:rsidRDefault="0008228C"/>
        </w:tc>
        <w:tc>
          <w:tcPr>
            <w:tcW w:w="1305" w:type="dxa"/>
            <w:tcBorders>
              <w:top w:val="nil"/>
              <w:left w:val="nil"/>
              <w:bottom w:val="nil"/>
              <w:right w:val="nil"/>
            </w:tcBorders>
            <w:tcMar>
              <w:top w:w="0" w:type="dxa"/>
              <w:left w:w="0" w:type="dxa"/>
              <w:bottom w:w="0" w:type="dxa"/>
              <w:right w:w="15" w:type="dxa"/>
            </w:tcMar>
            <w:vAlign w:val="bottom"/>
          </w:tcPr>
          <w:p w14:paraId="6B56D8AF"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7DC3ACE7"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56CD1985" w14:textId="77777777" w:rsidR="0008228C" w:rsidRDefault="00193375">
            <w:pPr>
              <w:tabs>
                <w:tab w:val="left" w:pos="1"/>
                <w:tab w:val="left" w:pos="336"/>
              </w:tabs>
              <w:spacing w:before="53" w:after="30" w:line="300" w:lineRule="auto"/>
              <w:jc w:val="right"/>
            </w:pPr>
            <w:r>
              <w:rPr>
                <w:color w:val="000000"/>
                <w:sz w:val="16"/>
              </w:rPr>
              <w:tab/>
              <w:t>0.14</w:t>
            </w:r>
            <w:r>
              <w:rPr>
                <w:color w:val="000000"/>
                <w:sz w:val="16"/>
              </w:rPr>
              <w:tab/>
              <w:t>%</w:t>
            </w:r>
          </w:p>
        </w:tc>
        <w:tc>
          <w:tcPr>
            <w:tcW w:w="60" w:type="dxa"/>
            <w:tcBorders>
              <w:top w:val="nil"/>
              <w:left w:val="nil"/>
              <w:bottom w:val="nil"/>
              <w:right w:val="nil"/>
            </w:tcBorders>
            <w:tcMar>
              <w:top w:w="0" w:type="dxa"/>
              <w:left w:w="0" w:type="dxa"/>
              <w:bottom w:w="0" w:type="dxa"/>
              <w:right w:w="15" w:type="dxa"/>
            </w:tcMar>
            <w:vAlign w:val="bottom"/>
          </w:tcPr>
          <w:p w14:paraId="1558EA0C"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F1782F6"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1407DE7A"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CEEB043"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53" w:type="dxa"/>
            </w:tcMar>
            <w:vAlign w:val="bottom"/>
          </w:tcPr>
          <w:p w14:paraId="3BECA7D2" w14:textId="77777777" w:rsidR="0008228C" w:rsidRDefault="0008228C">
            <w:pPr>
              <w:spacing w:before="53" w:after="30" w:line="300" w:lineRule="auto"/>
              <w:jc w:val="right"/>
            </w:pPr>
          </w:p>
        </w:tc>
        <w:tc>
          <w:tcPr>
            <w:tcW w:w="1305" w:type="dxa"/>
            <w:tcBorders>
              <w:top w:val="nil"/>
              <w:left w:val="nil"/>
              <w:bottom w:val="nil"/>
              <w:right w:val="nil"/>
            </w:tcBorders>
            <w:tcMar>
              <w:top w:w="0" w:type="dxa"/>
              <w:left w:w="0" w:type="dxa"/>
              <w:bottom w:w="0" w:type="dxa"/>
              <w:right w:w="15" w:type="dxa"/>
            </w:tcMar>
            <w:vAlign w:val="bottom"/>
          </w:tcPr>
          <w:p w14:paraId="00EF06F3" w14:textId="77777777" w:rsidR="0008228C" w:rsidRDefault="00193375">
            <w:pPr>
              <w:tabs>
                <w:tab w:val="left" w:pos="1"/>
                <w:tab w:val="left" w:pos="336"/>
              </w:tabs>
              <w:spacing w:before="53" w:after="30" w:line="300" w:lineRule="auto"/>
              <w:jc w:val="right"/>
            </w:pPr>
            <w:r>
              <w:rPr>
                <w:color w:val="000000"/>
                <w:sz w:val="16"/>
              </w:rPr>
              <w:tab/>
              <w:t>0.15</w:t>
            </w:r>
            <w:r>
              <w:rPr>
                <w:color w:val="000000"/>
                <w:sz w:val="16"/>
              </w:rPr>
              <w:tab/>
              <w:t>%</w:t>
            </w:r>
          </w:p>
        </w:tc>
      </w:tr>
      <w:tr w:rsidR="0008228C" w14:paraId="6B1536EF" w14:textId="77777777">
        <w:trPr>
          <w:cantSplit/>
          <w:trHeight w:hRule="exact" w:val="315"/>
        </w:trPr>
        <w:tc>
          <w:tcPr>
            <w:tcW w:w="2670" w:type="dxa"/>
            <w:tcBorders>
              <w:top w:val="nil"/>
              <w:left w:val="nil"/>
              <w:bottom w:val="nil"/>
              <w:right w:val="nil"/>
            </w:tcBorders>
            <w:tcMar>
              <w:top w:w="0" w:type="dxa"/>
              <w:left w:w="0" w:type="dxa"/>
              <w:bottom w:w="0" w:type="dxa"/>
              <w:right w:w="0" w:type="dxa"/>
            </w:tcMar>
            <w:vAlign w:val="bottom"/>
          </w:tcPr>
          <w:p w14:paraId="7101D876" w14:textId="77777777" w:rsidR="0008228C" w:rsidRDefault="0008228C"/>
        </w:tc>
        <w:tc>
          <w:tcPr>
            <w:tcW w:w="1305" w:type="dxa"/>
            <w:tcBorders>
              <w:top w:val="nil"/>
              <w:left w:val="nil"/>
              <w:bottom w:val="nil"/>
              <w:right w:val="nil"/>
            </w:tcBorders>
            <w:tcMar>
              <w:top w:w="0" w:type="dxa"/>
              <w:left w:w="0" w:type="dxa"/>
              <w:bottom w:w="0" w:type="dxa"/>
              <w:right w:w="0" w:type="dxa"/>
            </w:tcMar>
            <w:vAlign w:val="bottom"/>
          </w:tcPr>
          <w:p w14:paraId="6EDA0B58"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DF21F23" w14:textId="77777777" w:rsidR="0008228C" w:rsidRDefault="0008228C"/>
        </w:tc>
        <w:tc>
          <w:tcPr>
            <w:tcW w:w="1305" w:type="dxa"/>
            <w:tcBorders>
              <w:top w:val="nil"/>
              <w:left w:val="nil"/>
              <w:bottom w:val="nil"/>
              <w:right w:val="nil"/>
            </w:tcBorders>
            <w:tcMar>
              <w:top w:w="0" w:type="dxa"/>
              <w:left w:w="53" w:type="dxa"/>
              <w:bottom w:w="0" w:type="dxa"/>
              <w:right w:w="53" w:type="dxa"/>
            </w:tcMar>
            <w:vAlign w:val="bottom"/>
          </w:tcPr>
          <w:p w14:paraId="0CA15869" w14:textId="77777777" w:rsidR="0008228C" w:rsidRDefault="0008228C">
            <w:pPr>
              <w:spacing w:before="53" w:after="30" w:line="300" w:lineRule="auto"/>
            </w:pPr>
          </w:p>
        </w:tc>
        <w:tc>
          <w:tcPr>
            <w:tcW w:w="60" w:type="dxa"/>
            <w:tcBorders>
              <w:top w:val="nil"/>
              <w:left w:val="nil"/>
              <w:bottom w:val="nil"/>
              <w:right w:val="nil"/>
            </w:tcBorders>
            <w:tcMar>
              <w:top w:w="0" w:type="dxa"/>
              <w:left w:w="53" w:type="dxa"/>
              <w:bottom w:w="0" w:type="dxa"/>
              <w:right w:w="53" w:type="dxa"/>
            </w:tcMar>
            <w:vAlign w:val="bottom"/>
          </w:tcPr>
          <w:p w14:paraId="24C96DB1" w14:textId="77777777" w:rsidR="0008228C" w:rsidRDefault="0008228C">
            <w:pPr>
              <w:spacing w:before="53" w:after="30" w:line="300" w:lineRule="auto"/>
            </w:pPr>
          </w:p>
        </w:tc>
        <w:tc>
          <w:tcPr>
            <w:tcW w:w="1305" w:type="dxa"/>
            <w:tcBorders>
              <w:top w:val="nil"/>
              <w:left w:val="nil"/>
              <w:bottom w:val="nil"/>
              <w:right w:val="nil"/>
            </w:tcBorders>
            <w:tcMar>
              <w:top w:w="0" w:type="dxa"/>
              <w:left w:w="53" w:type="dxa"/>
              <w:bottom w:w="0" w:type="dxa"/>
              <w:right w:w="53" w:type="dxa"/>
            </w:tcMar>
            <w:vAlign w:val="bottom"/>
          </w:tcPr>
          <w:p w14:paraId="5E81E5F5" w14:textId="77777777" w:rsidR="0008228C" w:rsidRDefault="0008228C">
            <w:pPr>
              <w:spacing w:before="53" w:after="30" w:line="300" w:lineRule="auto"/>
            </w:pPr>
          </w:p>
        </w:tc>
        <w:tc>
          <w:tcPr>
            <w:tcW w:w="60" w:type="dxa"/>
            <w:tcBorders>
              <w:top w:val="nil"/>
              <w:left w:val="nil"/>
              <w:bottom w:val="nil"/>
              <w:right w:val="nil"/>
            </w:tcBorders>
            <w:tcMar>
              <w:top w:w="0" w:type="dxa"/>
              <w:left w:w="53" w:type="dxa"/>
              <w:bottom w:w="0" w:type="dxa"/>
              <w:right w:w="53" w:type="dxa"/>
            </w:tcMar>
            <w:vAlign w:val="bottom"/>
          </w:tcPr>
          <w:p w14:paraId="385FCCDC" w14:textId="77777777" w:rsidR="0008228C" w:rsidRDefault="0008228C">
            <w:pPr>
              <w:spacing w:before="53" w:after="30" w:line="300" w:lineRule="auto"/>
            </w:pPr>
          </w:p>
        </w:tc>
        <w:tc>
          <w:tcPr>
            <w:tcW w:w="1305" w:type="dxa"/>
            <w:tcBorders>
              <w:top w:val="nil"/>
              <w:left w:val="nil"/>
              <w:bottom w:val="nil"/>
              <w:right w:val="nil"/>
            </w:tcBorders>
            <w:tcMar>
              <w:top w:w="0" w:type="dxa"/>
              <w:left w:w="53" w:type="dxa"/>
              <w:bottom w:w="0" w:type="dxa"/>
              <w:right w:w="53" w:type="dxa"/>
            </w:tcMar>
            <w:vAlign w:val="bottom"/>
          </w:tcPr>
          <w:p w14:paraId="4E42DA21" w14:textId="77777777" w:rsidR="0008228C" w:rsidRDefault="0008228C">
            <w:pPr>
              <w:spacing w:before="53" w:after="30" w:line="300" w:lineRule="auto"/>
            </w:pPr>
          </w:p>
        </w:tc>
        <w:tc>
          <w:tcPr>
            <w:tcW w:w="60" w:type="dxa"/>
            <w:tcBorders>
              <w:top w:val="nil"/>
              <w:left w:val="nil"/>
              <w:bottom w:val="nil"/>
              <w:right w:val="nil"/>
            </w:tcBorders>
            <w:tcMar>
              <w:top w:w="0" w:type="dxa"/>
              <w:left w:w="53" w:type="dxa"/>
              <w:bottom w:w="0" w:type="dxa"/>
              <w:right w:w="53" w:type="dxa"/>
            </w:tcMar>
            <w:vAlign w:val="bottom"/>
          </w:tcPr>
          <w:p w14:paraId="75B70564" w14:textId="77777777" w:rsidR="0008228C" w:rsidRDefault="0008228C">
            <w:pPr>
              <w:spacing w:before="53" w:after="30" w:line="300" w:lineRule="auto"/>
            </w:pPr>
          </w:p>
        </w:tc>
        <w:tc>
          <w:tcPr>
            <w:tcW w:w="1305" w:type="dxa"/>
            <w:tcBorders>
              <w:top w:val="nil"/>
              <w:left w:val="nil"/>
              <w:bottom w:val="nil"/>
              <w:right w:val="nil"/>
            </w:tcBorders>
            <w:tcMar>
              <w:top w:w="0" w:type="dxa"/>
              <w:left w:w="53" w:type="dxa"/>
              <w:bottom w:w="0" w:type="dxa"/>
              <w:right w:w="53" w:type="dxa"/>
            </w:tcMar>
            <w:vAlign w:val="bottom"/>
          </w:tcPr>
          <w:p w14:paraId="0956D2A1" w14:textId="77777777" w:rsidR="0008228C" w:rsidRDefault="0008228C">
            <w:pPr>
              <w:spacing w:before="53" w:after="30" w:line="300" w:lineRule="auto"/>
            </w:pPr>
          </w:p>
        </w:tc>
        <w:tc>
          <w:tcPr>
            <w:tcW w:w="60" w:type="dxa"/>
            <w:tcBorders>
              <w:top w:val="nil"/>
              <w:left w:val="nil"/>
              <w:bottom w:val="nil"/>
              <w:right w:val="nil"/>
            </w:tcBorders>
            <w:tcMar>
              <w:top w:w="0" w:type="dxa"/>
              <w:left w:w="53" w:type="dxa"/>
              <w:bottom w:w="0" w:type="dxa"/>
              <w:right w:w="53" w:type="dxa"/>
            </w:tcMar>
            <w:vAlign w:val="bottom"/>
          </w:tcPr>
          <w:p w14:paraId="62DB235B" w14:textId="77777777" w:rsidR="0008228C" w:rsidRDefault="0008228C">
            <w:pPr>
              <w:spacing w:before="53" w:after="30" w:line="300" w:lineRule="auto"/>
            </w:pPr>
          </w:p>
        </w:tc>
        <w:tc>
          <w:tcPr>
            <w:tcW w:w="1305" w:type="dxa"/>
            <w:tcBorders>
              <w:top w:val="nil"/>
              <w:left w:val="nil"/>
              <w:bottom w:val="nil"/>
              <w:right w:val="nil"/>
            </w:tcBorders>
            <w:tcMar>
              <w:top w:w="0" w:type="dxa"/>
              <w:left w:w="53" w:type="dxa"/>
              <w:bottom w:w="0" w:type="dxa"/>
              <w:right w:w="53" w:type="dxa"/>
            </w:tcMar>
            <w:vAlign w:val="bottom"/>
          </w:tcPr>
          <w:p w14:paraId="0BE85518" w14:textId="77777777" w:rsidR="0008228C" w:rsidRDefault="0008228C">
            <w:pPr>
              <w:spacing w:before="53" w:after="30" w:line="300" w:lineRule="auto"/>
            </w:pPr>
          </w:p>
        </w:tc>
      </w:tr>
    </w:tbl>
    <w:p w14:paraId="27E95806" w14:textId="77777777" w:rsidR="0008228C" w:rsidRDefault="0008228C">
      <w:pPr>
        <w:spacing w:before="2" w:line="276" w:lineRule="auto"/>
        <w:rPr>
          <w:rFonts w:ascii="Arial" w:eastAsia="Arial" w:hAnsi="Arial" w:cs="Arial"/>
        </w:rPr>
      </w:pPr>
    </w:p>
    <w:p w14:paraId="3DE2B8EB" w14:textId="77777777" w:rsidR="0008228C" w:rsidRDefault="0008228C">
      <w:pPr>
        <w:spacing w:line="276" w:lineRule="auto"/>
        <w:rPr>
          <w:rFonts w:ascii="Arial" w:eastAsia="Arial" w:hAnsi="Arial" w:cs="Arial"/>
        </w:rPr>
      </w:pPr>
    </w:p>
    <w:p w14:paraId="3DDCE7F0" w14:textId="77777777" w:rsidR="0008228C" w:rsidRDefault="0008228C">
      <w:pPr>
        <w:spacing w:line="276" w:lineRule="auto"/>
        <w:rPr>
          <w:rFonts w:ascii="Arial" w:eastAsia="Arial" w:hAnsi="Arial" w:cs="Arial"/>
        </w:rPr>
      </w:pPr>
    </w:p>
    <w:p w14:paraId="5EBAB07C" w14:textId="77777777" w:rsidR="0008228C" w:rsidRDefault="0008228C">
      <w:pPr>
        <w:spacing w:line="276" w:lineRule="auto"/>
        <w:rPr>
          <w:rFonts w:ascii="Arial" w:eastAsia="Arial" w:hAnsi="Arial" w:cs="Arial"/>
        </w:rPr>
        <w:sectPr w:rsidR="0008228C">
          <w:type w:val="continuous"/>
          <w:pgSz w:w="12240" w:h="15840"/>
          <w:pgMar w:top="835" w:right="720" w:bottom="1238" w:left="720" w:header="560" w:footer="720" w:gutter="0"/>
          <w:cols w:space="708"/>
        </w:sectPr>
      </w:pPr>
    </w:p>
    <w:p w14:paraId="3B117E22" w14:textId="77777777" w:rsidR="0008228C" w:rsidRDefault="00193375">
      <w:pPr>
        <w:spacing w:after="2" w:line="288" w:lineRule="auto"/>
        <w:outlineLvl w:val="0"/>
        <w:rPr>
          <w:rFonts w:ascii="Cambria" w:eastAsia="Cambria" w:hAnsi="Cambria" w:cs="Cambria"/>
          <w:sz w:val="20"/>
        </w:rPr>
      </w:pPr>
      <w:bookmarkStart w:id="5" w:name="Section6"/>
      <w:bookmarkEnd w:id="5"/>
      <w:r>
        <w:rPr>
          <w:rFonts w:ascii="Cambria" w:eastAsia="Cambria" w:hAnsi="Cambria" w:cs="Cambria"/>
          <w:b/>
          <w:color w:val="005CAB"/>
          <w:sz w:val="20"/>
        </w:rPr>
        <w:lastRenderedPageBreak/>
        <w:t>Southern California</w:t>
      </w:r>
      <w:r>
        <w:rPr>
          <w:rFonts w:ascii="Cambria" w:eastAsia="Cambria" w:hAnsi="Cambria" w:cs="Cambria"/>
          <w:b/>
          <w:sz w:val="20"/>
        </w:rPr>
        <w:t xml:space="preserve"> </w:t>
      </w:r>
      <w:r>
        <w:rPr>
          <w:rFonts w:ascii="Cambria" w:eastAsia="Cambria" w:hAnsi="Cambria" w:cs="Cambria"/>
          <w:b/>
          <w:color w:val="F47B20"/>
          <w:sz w:val="20"/>
        </w:rPr>
        <w:t>Bancorp and Subsidiary</w:t>
      </w:r>
    </w:p>
    <w:p w14:paraId="64952082" w14:textId="1A9F5C46" w:rsidR="0008228C" w:rsidRDefault="00193375" w:rsidP="007576F9">
      <w:pPr>
        <w:spacing w:line="288" w:lineRule="auto"/>
        <w:rPr>
          <w:sz w:val="22"/>
        </w:rPr>
      </w:pPr>
      <w:r>
        <w:rPr>
          <w:rFonts w:ascii="Palatino" w:eastAsia="Palatino" w:hAnsi="Palatino" w:cs="Palatino"/>
          <w:sz w:val="16"/>
        </w:rPr>
        <w:t>GAAP to Non-GAAP Reconciliation</w:t>
      </w:r>
    </w:p>
    <w:p w14:paraId="480D1296" w14:textId="77777777" w:rsidR="0008228C" w:rsidRPr="007576F9" w:rsidRDefault="00193375">
      <w:pPr>
        <w:spacing w:line="269" w:lineRule="auto"/>
        <w:rPr>
          <w:sz w:val="20"/>
          <w:szCs w:val="20"/>
          <w:shd w:val="clear" w:color="auto" w:fill="FFFFFF"/>
        </w:rPr>
      </w:pPr>
      <w:r w:rsidRPr="007576F9">
        <w:rPr>
          <w:sz w:val="20"/>
          <w:szCs w:val="20"/>
          <w:shd w:val="clear" w:color="auto" w:fill="FFFFFF"/>
        </w:rPr>
        <w:t>The following tables present a reconciliation of non-GAAP financial measures to GAAP measures for: (1) efficiency ratio, (2) pre-tax pre-provision income, (3) average tangible common equity, (4) return on average tangible common equity, (5) tangible common equity, (6) tangible assets, (7) tangible common equity to tangible asset ratio, and (8) tangible book value per share. We believe the presentation of certain non-GAAP financial measures provides useful information to assess our consolidated financial condition and consolidated results of operations and to assist investors in evaluating our financial results relative to our peers. These non-GAAP financial measures complement our GAAP reporting and are presented below to provide investors and others with information that we use to manage the business each period. Because not all companies use identical calculations, the presentation of these non-GAAP financial measures may not be comparable to other similarly titled measures used by other companies. These non-GAAP measures should be taken together with the corresponding GAAP measures and should not be considered a substitute of the GAAP measures.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7"/>
        <w:gridCol w:w="59"/>
        <w:gridCol w:w="2134"/>
        <w:gridCol w:w="126"/>
        <w:gridCol w:w="2134"/>
        <w:gridCol w:w="126"/>
        <w:gridCol w:w="2134"/>
      </w:tblGrid>
      <w:tr w:rsidR="0008228C" w14:paraId="1FADAFF7" w14:textId="77777777">
        <w:trPr>
          <w:cantSplit/>
          <w:trHeight w:hRule="exact" w:val="240"/>
          <w:tblHeader/>
        </w:trPr>
        <w:tc>
          <w:tcPr>
            <w:tcW w:w="4140" w:type="dxa"/>
            <w:tcBorders>
              <w:top w:val="nil"/>
              <w:left w:val="nil"/>
              <w:bottom w:val="nil"/>
              <w:right w:val="nil"/>
            </w:tcBorders>
            <w:tcMar>
              <w:top w:w="0" w:type="dxa"/>
              <w:left w:w="0" w:type="dxa"/>
              <w:bottom w:w="0" w:type="dxa"/>
              <w:right w:w="0" w:type="dxa"/>
            </w:tcMar>
            <w:vAlign w:val="bottom"/>
          </w:tcPr>
          <w:p w14:paraId="388EEBE5"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DFC7D24" w14:textId="77777777" w:rsidR="0008228C" w:rsidRDefault="0008228C"/>
        </w:tc>
        <w:tc>
          <w:tcPr>
            <w:tcW w:w="6600" w:type="dxa"/>
            <w:gridSpan w:val="5"/>
            <w:tcBorders>
              <w:top w:val="single" w:sz="8" w:space="0" w:color="000000"/>
              <w:left w:val="single" w:sz="8" w:space="0" w:color="000000"/>
              <w:bottom w:val="single" w:sz="8" w:space="0" w:color="000000"/>
              <w:right w:val="single" w:sz="8" w:space="0" w:color="000000"/>
            </w:tcBorders>
            <w:tcMar>
              <w:top w:w="0" w:type="dxa"/>
              <w:left w:w="53" w:type="dxa"/>
              <w:bottom w:w="0" w:type="dxa"/>
              <w:right w:w="53" w:type="dxa"/>
            </w:tcMar>
            <w:vAlign w:val="bottom"/>
          </w:tcPr>
          <w:p w14:paraId="3A59BCD3" w14:textId="77777777" w:rsidR="0008228C" w:rsidRDefault="00193375">
            <w:pPr>
              <w:spacing w:before="33" w:after="30" w:line="300" w:lineRule="auto"/>
              <w:jc w:val="center"/>
            </w:pPr>
            <w:r>
              <w:rPr>
                <w:b/>
                <w:color w:val="000000"/>
                <w:sz w:val="16"/>
              </w:rPr>
              <w:t>At or for the Three Months Ended</w:t>
            </w:r>
          </w:p>
        </w:tc>
      </w:tr>
      <w:tr w:rsidR="0008228C" w14:paraId="767DB30F" w14:textId="77777777">
        <w:trPr>
          <w:cantSplit/>
          <w:trHeight w:hRule="exact" w:val="240"/>
          <w:tblHeader/>
        </w:trPr>
        <w:tc>
          <w:tcPr>
            <w:tcW w:w="4140" w:type="dxa"/>
            <w:tcBorders>
              <w:top w:val="nil"/>
              <w:left w:val="nil"/>
              <w:bottom w:val="nil"/>
              <w:right w:val="nil"/>
            </w:tcBorders>
            <w:tcMar>
              <w:top w:w="0" w:type="dxa"/>
              <w:left w:w="0" w:type="dxa"/>
              <w:bottom w:w="0" w:type="dxa"/>
              <w:right w:w="0" w:type="dxa"/>
            </w:tcMar>
            <w:vAlign w:val="bottom"/>
          </w:tcPr>
          <w:p w14:paraId="65444AE1"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7F983C4" w14:textId="77777777" w:rsidR="0008228C" w:rsidRDefault="0008228C"/>
        </w:tc>
        <w:tc>
          <w:tcPr>
            <w:tcW w:w="2160" w:type="dxa"/>
            <w:tcBorders>
              <w:top w:val="nil"/>
              <w:left w:val="nil"/>
              <w:bottom w:val="single" w:sz="8" w:space="0" w:color="000000"/>
              <w:right w:val="nil"/>
            </w:tcBorders>
            <w:tcMar>
              <w:top w:w="0" w:type="dxa"/>
              <w:left w:w="53" w:type="dxa"/>
              <w:bottom w:w="0" w:type="dxa"/>
              <w:right w:w="53" w:type="dxa"/>
            </w:tcMar>
            <w:vAlign w:val="bottom"/>
          </w:tcPr>
          <w:p w14:paraId="0A40AA82" w14:textId="77777777" w:rsidR="0008228C" w:rsidRDefault="00193375">
            <w:pPr>
              <w:spacing w:before="33" w:after="30" w:line="300" w:lineRule="auto"/>
              <w:jc w:val="center"/>
            </w:pPr>
            <w:r>
              <w:rPr>
                <w:b/>
                <w:color w:val="000000"/>
                <w:sz w:val="16"/>
              </w:rPr>
              <w:t>March 31, 2022</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6DD9E875" w14:textId="77777777" w:rsidR="0008228C" w:rsidRDefault="00193375">
            <w:pPr>
              <w:spacing w:before="33" w:after="30" w:line="300" w:lineRule="auto"/>
              <w:jc w:val="center"/>
            </w:pPr>
            <w:r>
              <w:rPr>
                <w:b/>
                <w:color w:val="000000"/>
                <w:sz w:val="16"/>
              </w:rPr>
              <w:t>`</w:t>
            </w:r>
          </w:p>
        </w:tc>
        <w:tc>
          <w:tcPr>
            <w:tcW w:w="216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BB7C949" w14:textId="77777777" w:rsidR="0008228C" w:rsidRDefault="00193375">
            <w:pPr>
              <w:spacing w:before="33" w:after="30" w:line="300" w:lineRule="auto"/>
              <w:jc w:val="center"/>
            </w:pPr>
            <w:r>
              <w:rPr>
                <w:b/>
                <w:color w:val="000000"/>
                <w:sz w:val="16"/>
              </w:rPr>
              <w:t>Dec 31, 2021</w:t>
            </w:r>
          </w:p>
        </w:tc>
        <w:tc>
          <w:tcPr>
            <w:tcW w:w="60" w:type="dxa"/>
            <w:tcBorders>
              <w:top w:val="single" w:sz="8" w:space="0" w:color="000000"/>
              <w:left w:val="nil"/>
              <w:bottom w:val="nil"/>
              <w:right w:val="nil"/>
            </w:tcBorders>
            <w:tcMar>
              <w:top w:w="0" w:type="dxa"/>
              <w:left w:w="53" w:type="dxa"/>
              <w:bottom w:w="0" w:type="dxa"/>
              <w:right w:w="53" w:type="dxa"/>
            </w:tcMar>
            <w:vAlign w:val="bottom"/>
          </w:tcPr>
          <w:p w14:paraId="34B1EE3B" w14:textId="77777777" w:rsidR="0008228C" w:rsidRDefault="0008228C">
            <w:pPr>
              <w:spacing w:before="33" w:after="30" w:line="300" w:lineRule="auto"/>
              <w:jc w:val="center"/>
            </w:pPr>
          </w:p>
        </w:tc>
        <w:tc>
          <w:tcPr>
            <w:tcW w:w="216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90D18D0" w14:textId="77777777" w:rsidR="0008228C" w:rsidRDefault="00193375">
            <w:pPr>
              <w:spacing w:before="33" w:after="30" w:line="300" w:lineRule="auto"/>
              <w:jc w:val="center"/>
            </w:pPr>
            <w:r>
              <w:rPr>
                <w:b/>
                <w:color w:val="000000"/>
                <w:sz w:val="16"/>
              </w:rPr>
              <w:t>March 31, 2021</w:t>
            </w:r>
          </w:p>
        </w:tc>
      </w:tr>
      <w:tr w:rsidR="0008228C" w14:paraId="69DC47DD" w14:textId="77777777">
        <w:trPr>
          <w:cantSplit/>
          <w:trHeight w:hRule="exact" w:val="240"/>
          <w:tblHeader/>
        </w:trPr>
        <w:tc>
          <w:tcPr>
            <w:tcW w:w="4140" w:type="dxa"/>
            <w:tcBorders>
              <w:top w:val="nil"/>
              <w:left w:val="nil"/>
              <w:bottom w:val="nil"/>
              <w:right w:val="nil"/>
            </w:tcBorders>
            <w:tcMar>
              <w:top w:w="0" w:type="dxa"/>
              <w:left w:w="0" w:type="dxa"/>
              <w:bottom w:w="0" w:type="dxa"/>
              <w:right w:w="0" w:type="dxa"/>
            </w:tcMar>
            <w:vAlign w:val="bottom"/>
          </w:tcPr>
          <w:p w14:paraId="4F4B3BF0"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44738D6" w14:textId="77777777" w:rsidR="0008228C" w:rsidRDefault="0008228C"/>
        </w:tc>
        <w:tc>
          <w:tcPr>
            <w:tcW w:w="6600" w:type="dxa"/>
            <w:gridSpan w:val="5"/>
            <w:tcBorders>
              <w:top w:val="nil"/>
              <w:left w:val="nil"/>
              <w:bottom w:val="nil"/>
              <w:right w:val="nil"/>
            </w:tcBorders>
            <w:tcMar>
              <w:top w:w="0" w:type="dxa"/>
              <w:left w:w="53" w:type="dxa"/>
              <w:bottom w:w="0" w:type="dxa"/>
              <w:right w:w="53" w:type="dxa"/>
            </w:tcMar>
            <w:vAlign w:val="bottom"/>
          </w:tcPr>
          <w:p w14:paraId="0B5C2AA2" w14:textId="77777777" w:rsidR="0008228C" w:rsidRDefault="00193375">
            <w:pPr>
              <w:spacing w:before="33" w:after="30" w:line="300" w:lineRule="auto"/>
              <w:jc w:val="center"/>
            </w:pPr>
            <w:r>
              <w:rPr>
                <w:i/>
                <w:color w:val="000000"/>
                <w:sz w:val="16"/>
              </w:rPr>
              <w:t>($ in thousands except share and per share data)</w:t>
            </w:r>
          </w:p>
        </w:tc>
      </w:tr>
      <w:tr w:rsidR="0008228C" w14:paraId="218CB1FE" w14:textId="77777777">
        <w:trPr>
          <w:cantSplit/>
          <w:trHeight w:hRule="exact" w:val="240"/>
        </w:trPr>
        <w:tc>
          <w:tcPr>
            <w:tcW w:w="4140" w:type="dxa"/>
            <w:tcBorders>
              <w:top w:val="nil"/>
              <w:left w:val="nil"/>
              <w:bottom w:val="single" w:sz="8" w:space="0" w:color="000000"/>
              <w:right w:val="nil"/>
            </w:tcBorders>
            <w:tcMar>
              <w:top w:w="0" w:type="dxa"/>
              <w:left w:w="53" w:type="dxa"/>
              <w:bottom w:w="0" w:type="dxa"/>
              <w:right w:w="53" w:type="dxa"/>
            </w:tcMar>
            <w:vAlign w:val="bottom"/>
          </w:tcPr>
          <w:p w14:paraId="42BDE045" w14:textId="77777777" w:rsidR="0008228C" w:rsidRDefault="00193375">
            <w:pPr>
              <w:spacing w:before="53" w:after="30" w:line="300" w:lineRule="auto"/>
            </w:pPr>
            <w:r>
              <w:rPr>
                <w:b/>
                <w:color w:val="000000"/>
                <w:sz w:val="16"/>
              </w:rPr>
              <w:t>Efficiency Ratio</w:t>
            </w:r>
          </w:p>
        </w:tc>
        <w:tc>
          <w:tcPr>
            <w:tcW w:w="60" w:type="dxa"/>
            <w:tcBorders>
              <w:top w:val="nil"/>
              <w:left w:val="nil"/>
              <w:bottom w:val="nil"/>
              <w:right w:val="nil"/>
            </w:tcBorders>
            <w:tcMar>
              <w:top w:w="0" w:type="dxa"/>
              <w:left w:w="0" w:type="dxa"/>
              <w:bottom w:w="0" w:type="dxa"/>
              <w:right w:w="0" w:type="dxa"/>
            </w:tcMar>
            <w:vAlign w:val="bottom"/>
          </w:tcPr>
          <w:p w14:paraId="0951A1FE"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1BC04878"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AA8EA1A"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7D29BE5C"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4578C43C"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450D1288" w14:textId="77777777" w:rsidR="0008228C" w:rsidRDefault="0008228C"/>
        </w:tc>
      </w:tr>
      <w:tr w:rsidR="0008228C" w14:paraId="0CA44715" w14:textId="77777777">
        <w:trPr>
          <w:cantSplit/>
          <w:trHeight w:hRule="exact" w:val="240"/>
        </w:trPr>
        <w:tc>
          <w:tcPr>
            <w:tcW w:w="4140" w:type="dxa"/>
            <w:tcBorders>
              <w:top w:val="single" w:sz="8" w:space="0" w:color="000000"/>
              <w:left w:val="nil"/>
              <w:bottom w:val="nil"/>
              <w:right w:val="nil"/>
            </w:tcBorders>
            <w:tcMar>
              <w:top w:w="0" w:type="dxa"/>
              <w:left w:w="53" w:type="dxa"/>
              <w:bottom w:w="0" w:type="dxa"/>
              <w:right w:w="53" w:type="dxa"/>
            </w:tcMar>
            <w:vAlign w:val="bottom"/>
          </w:tcPr>
          <w:p w14:paraId="2D9514CC" w14:textId="77777777" w:rsidR="0008228C" w:rsidRDefault="00193375">
            <w:pPr>
              <w:spacing w:before="33" w:after="30" w:line="300" w:lineRule="auto"/>
            </w:pPr>
            <w:r>
              <w:rPr>
                <w:color w:val="000000"/>
                <w:sz w:val="16"/>
              </w:rPr>
              <w:t>Noninterest expense</w:t>
            </w:r>
          </w:p>
        </w:tc>
        <w:tc>
          <w:tcPr>
            <w:tcW w:w="60" w:type="dxa"/>
            <w:tcBorders>
              <w:top w:val="nil"/>
              <w:left w:val="nil"/>
              <w:bottom w:val="nil"/>
              <w:right w:val="nil"/>
            </w:tcBorders>
            <w:tcMar>
              <w:top w:w="0" w:type="dxa"/>
              <w:left w:w="0" w:type="dxa"/>
              <w:bottom w:w="0" w:type="dxa"/>
              <w:right w:w="0" w:type="dxa"/>
            </w:tcMar>
            <w:vAlign w:val="bottom"/>
          </w:tcPr>
          <w:p w14:paraId="4B4BA070"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2F56C9B9" w14:textId="77777777" w:rsidR="0008228C" w:rsidRDefault="00193375">
            <w:pPr>
              <w:tabs>
                <w:tab w:val="left" w:pos="1467"/>
                <w:tab w:val="left" w:pos="2092"/>
              </w:tabs>
              <w:spacing w:before="33" w:after="30" w:line="300" w:lineRule="auto"/>
              <w:jc w:val="right"/>
            </w:pPr>
            <w:r>
              <w:rPr>
                <w:color w:val="000000"/>
                <w:sz w:val="16"/>
              </w:rPr>
              <w:t>$</w:t>
            </w:r>
            <w:r>
              <w:rPr>
                <w:color w:val="000000"/>
                <w:sz w:val="16"/>
              </w:rPr>
              <w:tab/>
              <w:t>15,552</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2F857A4D" w14:textId="77777777" w:rsidR="0008228C" w:rsidRDefault="0008228C">
            <w:pPr>
              <w:spacing w:before="3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2EB1A960" w14:textId="77777777" w:rsidR="0008228C" w:rsidRDefault="00193375">
            <w:pPr>
              <w:tabs>
                <w:tab w:val="left" w:pos="1467"/>
                <w:tab w:val="left" w:pos="2092"/>
              </w:tabs>
              <w:spacing w:before="33" w:after="30" w:line="300" w:lineRule="auto"/>
              <w:jc w:val="right"/>
            </w:pPr>
            <w:r>
              <w:rPr>
                <w:color w:val="000000"/>
                <w:sz w:val="16"/>
              </w:rPr>
              <w:t>$</w:t>
            </w:r>
            <w:r>
              <w:rPr>
                <w:color w:val="000000"/>
                <w:sz w:val="16"/>
              </w:rPr>
              <w:tab/>
              <w:t>14,866</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0BB93B3" w14:textId="77777777" w:rsidR="0008228C" w:rsidRDefault="0008228C">
            <w:pPr>
              <w:spacing w:before="3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671E3356" w14:textId="77777777" w:rsidR="0008228C" w:rsidRDefault="00193375">
            <w:pPr>
              <w:tabs>
                <w:tab w:val="left" w:pos="1467"/>
                <w:tab w:val="left" w:pos="2092"/>
              </w:tabs>
              <w:spacing w:before="33" w:after="30" w:line="300" w:lineRule="auto"/>
              <w:jc w:val="right"/>
            </w:pPr>
            <w:r>
              <w:rPr>
                <w:color w:val="000000"/>
                <w:sz w:val="16"/>
              </w:rPr>
              <w:t>$</w:t>
            </w:r>
            <w:r>
              <w:rPr>
                <w:color w:val="000000"/>
                <w:sz w:val="16"/>
              </w:rPr>
              <w:tab/>
              <w:t>11,178</w:t>
            </w:r>
            <w:r>
              <w:rPr>
                <w:color w:val="000000"/>
                <w:sz w:val="16"/>
              </w:rPr>
              <w:tab/>
            </w:r>
          </w:p>
        </w:tc>
      </w:tr>
      <w:tr w:rsidR="0008228C" w14:paraId="7F9C358A" w14:textId="77777777">
        <w:trPr>
          <w:cantSplit/>
          <w:trHeight w:hRule="exact" w:val="75"/>
        </w:trPr>
        <w:tc>
          <w:tcPr>
            <w:tcW w:w="4140" w:type="dxa"/>
            <w:tcBorders>
              <w:top w:val="nil"/>
              <w:left w:val="nil"/>
              <w:bottom w:val="nil"/>
              <w:right w:val="nil"/>
            </w:tcBorders>
            <w:tcMar>
              <w:top w:w="0" w:type="dxa"/>
              <w:left w:w="0" w:type="dxa"/>
              <w:bottom w:w="0" w:type="dxa"/>
              <w:right w:w="0" w:type="dxa"/>
            </w:tcMar>
            <w:vAlign w:val="bottom"/>
          </w:tcPr>
          <w:p w14:paraId="1547A621"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8BD0DFC" w14:textId="77777777" w:rsidR="0008228C" w:rsidRDefault="0008228C"/>
        </w:tc>
        <w:tc>
          <w:tcPr>
            <w:tcW w:w="2160" w:type="dxa"/>
            <w:tcBorders>
              <w:top w:val="nil"/>
              <w:left w:val="nil"/>
              <w:bottom w:val="single" w:sz="8" w:space="0" w:color="000000"/>
              <w:right w:val="nil"/>
            </w:tcBorders>
            <w:tcMar>
              <w:top w:w="0" w:type="dxa"/>
              <w:left w:w="0" w:type="dxa"/>
              <w:bottom w:w="0" w:type="dxa"/>
              <w:right w:w="0" w:type="dxa"/>
            </w:tcMar>
            <w:vAlign w:val="bottom"/>
          </w:tcPr>
          <w:p w14:paraId="07CE8020"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815FD9B" w14:textId="77777777" w:rsidR="0008228C" w:rsidRDefault="0008228C"/>
        </w:tc>
        <w:tc>
          <w:tcPr>
            <w:tcW w:w="2160" w:type="dxa"/>
            <w:tcBorders>
              <w:top w:val="nil"/>
              <w:left w:val="nil"/>
              <w:bottom w:val="single" w:sz="8" w:space="0" w:color="000000"/>
              <w:right w:val="nil"/>
            </w:tcBorders>
            <w:tcMar>
              <w:top w:w="0" w:type="dxa"/>
              <w:left w:w="0" w:type="dxa"/>
              <w:bottom w:w="0" w:type="dxa"/>
              <w:right w:w="0" w:type="dxa"/>
            </w:tcMar>
            <w:vAlign w:val="bottom"/>
          </w:tcPr>
          <w:p w14:paraId="1EAEDCB5"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3555C47A" w14:textId="77777777" w:rsidR="0008228C" w:rsidRDefault="0008228C"/>
        </w:tc>
        <w:tc>
          <w:tcPr>
            <w:tcW w:w="2160" w:type="dxa"/>
            <w:tcBorders>
              <w:top w:val="nil"/>
              <w:left w:val="nil"/>
              <w:bottom w:val="single" w:sz="8" w:space="0" w:color="000000"/>
              <w:right w:val="nil"/>
            </w:tcBorders>
            <w:tcMar>
              <w:top w:w="0" w:type="dxa"/>
              <w:left w:w="0" w:type="dxa"/>
              <w:bottom w:w="0" w:type="dxa"/>
              <w:right w:w="0" w:type="dxa"/>
            </w:tcMar>
            <w:vAlign w:val="bottom"/>
          </w:tcPr>
          <w:p w14:paraId="365F430E" w14:textId="77777777" w:rsidR="0008228C" w:rsidRDefault="0008228C"/>
        </w:tc>
      </w:tr>
      <w:tr w:rsidR="0008228C" w14:paraId="79224BDD"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26BEFDF3" w14:textId="77777777" w:rsidR="0008228C" w:rsidRDefault="00193375">
            <w:pPr>
              <w:spacing w:before="33" w:after="30" w:line="300" w:lineRule="auto"/>
            </w:pPr>
            <w:r>
              <w:rPr>
                <w:color w:val="000000"/>
                <w:sz w:val="16"/>
              </w:rPr>
              <w:t>Net interest income</w:t>
            </w:r>
          </w:p>
        </w:tc>
        <w:tc>
          <w:tcPr>
            <w:tcW w:w="60" w:type="dxa"/>
            <w:tcBorders>
              <w:top w:val="nil"/>
              <w:left w:val="nil"/>
              <w:bottom w:val="nil"/>
              <w:right w:val="nil"/>
            </w:tcBorders>
            <w:tcMar>
              <w:top w:w="0" w:type="dxa"/>
              <w:left w:w="0" w:type="dxa"/>
              <w:bottom w:w="0" w:type="dxa"/>
              <w:right w:w="0" w:type="dxa"/>
            </w:tcMar>
            <w:vAlign w:val="bottom"/>
          </w:tcPr>
          <w:p w14:paraId="08210ED9" w14:textId="77777777" w:rsidR="0008228C" w:rsidRDefault="0008228C"/>
        </w:tc>
        <w:tc>
          <w:tcPr>
            <w:tcW w:w="2160" w:type="dxa"/>
            <w:tcBorders>
              <w:top w:val="single" w:sz="8" w:space="0" w:color="000000"/>
              <w:left w:val="nil"/>
              <w:bottom w:val="nil"/>
              <w:right w:val="nil"/>
            </w:tcBorders>
            <w:tcMar>
              <w:top w:w="0" w:type="dxa"/>
              <w:left w:w="0" w:type="dxa"/>
              <w:bottom w:w="0" w:type="dxa"/>
              <w:right w:w="15" w:type="dxa"/>
            </w:tcMar>
            <w:vAlign w:val="bottom"/>
          </w:tcPr>
          <w:p w14:paraId="77435DD1" w14:textId="77777777" w:rsidR="0008228C" w:rsidRDefault="00193375">
            <w:pPr>
              <w:tabs>
                <w:tab w:val="left" w:pos="1467"/>
                <w:tab w:val="left" w:pos="2092"/>
              </w:tabs>
              <w:spacing w:before="33" w:after="30" w:line="300" w:lineRule="auto"/>
              <w:jc w:val="right"/>
            </w:pPr>
            <w:r>
              <w:rPr>
                <w:color w:val="000000"/>
                <w:sz w:val="16"/>
              </w:rPr>
              <w:tab/>
              <w:t>17,795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E730399" w14:textId="77777777" w:rsidR="0008228C" w:rsidRDefault="0008228C">
            <w:pPr>
              <w:spacing w:before="33" w:after="30" w:line="300" w:lineRule="auto"/>
              <w:jc w:val="right"/>
            </w:pPr>
          </w:p>
        </w:tc>
        <w:tc>
          <w:tcPr>
            <w:tcW w:w="2160" w:type="dxa"/>
            <w:tcBorders>
              <w:top w:val="single" w:sz="8" w:space="0" w:color="000000"/>
              <w:left w:val="nil"/>
              <w:bottom w:val="nil"/>
              <w:right w:val="nil"/>
            </w:tcBorders>
            <w:tcMar>
              <w:top w:w="0" w:type="dxa"/>
              <w:left w:w="0" w:type="dxa"/>
              <w:bottom w:w="0" w:type="dxa"/>
              <w:right w:w="15" w:type="dxa"/>
            </w:tcMar>
            <w:vAlign w:val="bottom"/>
          </w:tcPr>
          <w:p w14:paraId="4D5DFB58" w14:textId="77777777" w:rsidR="0008228C" w:rsidRDefault="00193375">
            <w:pPr>
              <w:tabs>
                <w:tab w:val="left" w:pos="1467"/>
                <w:tab w:val="left" w:pos="2092"/>
              </w:tabs>
              <w:spacing w:before="33" w:after="30" w:line="300" w:lineRule="auto"/>
              <w:jc w:val="right"/>
            </w:pPr>
            <w:r>
              <w:rPr>
                <w:color w:val="000000"/>
                <w:sz w:val="16"/>
              </w:rPr>
              <w:tab/>
              <w:t>20,333</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29803510" w14:textId="77777777" w:rsidR="0008228C" w:rsidRDefault="0008228C">
            <w:pPr>
              <w:spacing w:before="33" w:after="30" w:line="300" w:lineRule="auto"/>
              <w:jc w:val="right"/>
            </w:pPr>
          </w:p>
        </w:tc>
        <w:tc>
          <w:tcPr>
            <w:tcW w:w="2160" w:type="dxa"/>
            <w:tcBorders>
              <w:top w:val="single" w:sz="8" w:space="0" w:color="000000"/>
              <w:left w:val="nil"/>
              <w:bottom w:val="nil"/>
              <w:right w:val="nil"/>
            </w:tcBorders>
            <w:tcMar>
              <w:top w:w="0" w:type="dxa"/>
              <w:left w:w="0" w:type="dxa"/>
              <w:bottom w:w="0" w:type="dxa"/>
              <w:right w:w="15" w:type="dxa"/>
            </w:tcMar>
            <w:vAlign w:val="bottom"/>
          </w:tcPr>
          <w:p w14:paraId="36807557" w14:textId="77777777" w:rsidR="0008228C" w:rsidRDefault="00193375">
            <w:pPr>
              <w:tabs>
                <w:tab w:val="left" w:pos="1467"/>
                <w:tab w:val="left" w:pos="2092"/>
              </w:tabs>
              <w:spacing w:before="33" w:after="30" w:line="300" w:lineRule="auto"/>
              <w:jc w:val="right"/>
            </w:pPr>
            <w:r>
              <w:rPr>
                <w:color w:val="000000"/>
                <w:sz w:val="16"/>
              </w:rPr>
              <w:tab/>
              <w:t>12,639</w:t>
            </w:r>
            <w:r>
              <w:rPr>
                <w:color w:val="000000"/>
                <w:sz w:val="16"/>
              </w:rPr>
              <w:tab/>
            </w:r>
          </w:p>
        </w:tc>
      </w:tr>
      <w:tr w:rsidR="0008228C" w14:paraId="1D7D82F2"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33C56582" w14:textId="77777777" w:rsidR="0008228C" w:rsidRDefault="00193375">
            <w:pPr>
              <w:spacing w:before="53" w:after="30" w:line="300" w:lineRule="auto"/>
            </w:pPr>
            <w:r>
              <w:rPr>
                <w:color w:val="000000"/>
                <w:sz w:val="16"/>
              </w:rPr>
              <w:t>Noninterest income</w:t>
            </w:r>
          </w:p>
        </w:tc>
        <w:tc>
          <w:tcPr>
            <w:tcW w:w="60" w:type="dxa"/>
            <w:tcBorders>
              <w:top w:val="nil"/>
              <w:left w:val="nil"/>
              <w:bottom w:val="nil"/>
              <w:right w:val="nil"/>
            </w:tcBorders>
            <w:tcMar>
              <w:top w:w="0" w:type="dxa"/>
              <w:left w:w="0" w:type="dxa"/>
              <w:bottom w:w="0" w:type="dxa"/>
              <w:right w:w="0" w:type="dxa"/>
            </w:tcMar>
            <w:vAlign w:val="bottom"/>
          </w:tcPr>
          <w:p w14:paraId="36D3E865" w14:textId="77777777" w:rsidR="0008228C" w:rsidRDefault="0008228C"/>
        </w:tc>
        <w:tc>
          <w:tcPr>
            <w:tcW w:w="2160" w:type="dxa"/>
            <w:tcBorders>
              <w:top w:val="nil"/>
              <w:left w:val="nil"/>
              <w:bottom w:val="single" w:sz="8" w:space="0" w:color="000000"/>
              <w:right w:val="nil"/>
            </w:tcBorders>
            <w:tcMar>
              <w:top w:w="0" w:type="dxa"/>
              <w:left w:w="0" w:type="dxa"/>
              <w:bottom w:w="0" w:type="dxa"/>
              <w:right w:w="15" w:type="dxa"/>
            </w:tcMar>
            <w:vAlign w:val="bottom"/>
          </w:tcPr>
          <w:p w14:paraId="7A873F0F" w14:textId="77777777" w:rsidR="0008228C" w:rsidRDefault="00193375">
            <w:pPr>
              <w:tabs>
                <w:tab w:val="left" w:pos="1547"/>
                <w:tab w:val="left" w:pos="2092"/>
              </w:tabs>
              <w:spacing w:before="53" w:after="30" w:line="300" w:lineRule="auto"/>
              <w:jc w:val="right"/>
            </w:pPr>
            <w:r>
              <w:rPr>
                <w:color w:val="000000"/>
                <w:sz w:val="16"/>
              </w:rPr>
              <w:tab/>
              <w:t>1,603</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18B1085"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3F0591B6" w14:textId="77777777" w:rsidR="0008228C" w:rsidRDefault="00193375">
            <w:pPr>
              <w:tabs>
                <w:tab w:val="left" w:pos="1667"/>
                <w:tab w:val="left" w:pos="2092"/>
              </w:tabs>
              <w:spacing w:before="53" w:after="30" w:line="300" w:lineRule="auto"/>
              <w:jc w:val="right"/>
            </w:pPr>
            <w:r>
              <w:rPr>
                <w:color w:val="000000"/>
                <w:sz w:val="16"/>
              </w:rPr>
              <w:tab/>
              <w:t>526</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3B3D353"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34BEF9AF" w14:textId="77777777" w:rsidR="0008228C" w:rsidRDefault="00193375">
            <w:pPr>
              <w:tabs>
                <w:tab w:val="left" w:pos="1667"/>
                <w:tab w:val="left" w:pos="2092"/>
              </w:tabs>
              <w:spacing w:before="53" w:after="30" w:line="300" w:lineRule="auto"/>
              <w:jc w:val="right"/>
            </w:pPr>
            <w:r>
              <w:rPr>
                <w:color w:val="000000"/>
                <w:sz w:val="16"/>
              </w:rPr>
              <w:tab/>
              <w:t>548</w:t>
            </w:r>
            <w:r>
              <w:rPr>
                <w:color w:val="000000"/>
                <w:sz w:val="16"/>
              </w:rPr>
              <w:tab/>
            </w:r>
          </w:p>
        </w:tc>
      </w:tr>
      <w:tr w:rsidR="0008228C" w14:paraId="3C0C1841"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7315459E" w14:textId="77777777" w:rsidR="0008228C" w:rsidRDefault="00193375">
            <w:pPr>
              <w:spacing w:before="33" w:after="30" w:line="300" w:lineRule="auto"/>
            </w:pPr>
            <w:r>
              <w:rPr>
                <w:color w:val="000000"/>
                <w:sz w:val="16"/>
              </w:rPr>
              <w:t>Total net interest income and noninterest income</w:t>
            </w:r>
          </w:p>
        </w:tc>
        <w:tc>
          <w:tcPr>
            <w:tcW w:w="60" w:type="dxa"/>
            <w:tcBorders>
              <w:top w:val="nil"/>
              <w:left w:val="nil"/>
              <w:bottom w:val="nil"/>
              <w:right w:val="nil"/>
            </w:tcBorders>
            <w:tcMar>
              <w:top w:w="0" w:type="dxa"/>
              <w:left w:w="0" w:type="dxa"/>
              <w:bottom w:w="0" w:type="dxa"/>
              <w:right w:w="0" w:type="dxa"/>
            </w:tcMar>
            <w:vAlign w:val="bottom"/>
          </w:tcPr>
          <w:p w14:paraId="121CB816" w14:textId="77777777" w:rsidR="0008228C" w:rsidRDefault="0008228C"/>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72CED6DE" w14:textId="77777777" w:rsidR="0008228C" w:rsidRDefault="00193375">
            <w:pPr>
              <w:tabs>
                <w:tab w:val="left" w:pos="1467"/>
                <w:tab w:val="left" w:pos="2092"/>
              </w:tabs>
              <w:spacing w:before="33" w:after="30" w:line="300" w:lineRule="auto"/>
              <w:jc w:val="right"/>
            </w:pPr>
            <w:r>
              <w:rPr>
                <w:color w:val="000000"/>
                <w:sz w:val="16"/>
              </w:rPr>
              <w:t>$</w:t>
            </w:r>
            <w:r>
              <w:rPr>
                <w:color w:val="000000"/>
                <w:sz w:val="16"/>
              </w:rPr>
              <w:tab/>
              <w:t>19,398</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0415E94E" w14:textId="77777777" w:rsidR="0008228C" w:rsidRDefault="0008228C">
            <w:pPr>
              <w:spacing w:before="33" w:after="30" w:line="300" w:lineRule="auto"/>
              <w:jc w:val="right"/>
            </w:pPr>
          </w:p>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57A4031E" w14:textId="77777777" w:rsidR="0008228C" w:rsidRDefault="00193375">
            <w:pPr>
              <w:tabs>
                <w:tab w:val="left" w:pos="1467"/>
                <w:tab w:val="left" w:pos="2092"/>
              </w:tabs>
              <w:spacing w:before="33" w:after="30" w:line="300" w:lineRule="auto"/>
              <w:jc w:val="right"/>
            </w:pPr>
            <w:r>
              <w:rPr>
                <w:color w:val="000000"/>
                <w:sz w:val="16"/>
              </w:rPr>
              <w:t>$</w:t>
            </w:r>
            <w:r>
              <w:rPr>
                <w:color w:val="000000"/>
                <w:sz w:val="16"/>
              </w:rPr>
              <w:tab/>
              <w:t>20,859</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4A186F10" w14:textId="77777777" w:rsidR="0008228C" w:rsidRDefault="0008228C">
            <w:pPr>
              <w:spacing w:before="33" w:after="30" w:line="300" w:lineRule="auto"/>
              <w:jc w:val="right"/>
            </w:pPr>
          </w:p>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2669987F" w14:textId="77777777" w:rsidR="0008228C" w:rsidRDefault="00193375">
            <w:pPr>
              <w:tabs>
                <w:tab w:val="left" w:pos="1467"/>
                <w:tab w:val="left" w:pos="2092"/>
              </w:tabs>
              <w:spacing w:before="33" w:after="30" w:line="300" w:lineRule="auto"/>
              <w:jc w:val="right"/>
            </w:pPr>
            <w:r>
              <w:rPr>
                <w:color w:val="000000"/>
                <w:sz w:val="16"/>
              </w:rPr>
              <w:t>$</w:t>
            </w:r>
            <w:r>
              <w:rPr>
                <w:color w:val="000000"/>
                <w:sz w:val="16"/>
              </w:rPr>
              <w:tab/>
              <w:t>13,187</w:t>
            </w:r>
            <w:r>
              <w:rPr>
                <w:color w:val="000000"/>
                <w:sz w:val="16"/>
              </w:rPr>
              <w:tab/>
            </w:r>
          </w:p>
        </w:tc>
      </w:tr>
      <w:tr w:rsidR="0008228C" w14:paraId="0529250C"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370B4078" w14:textId="77777777" w:rsidR="0008228C" w:rsidRDefault="00193375">
            <w:pPr>
              <w:spacing w:after="30" w:line="300" w:lineRule="auto"/>
            </w:pPr>
            <w:r>
              <w:rPr>
                <w:color w:val="000000"/>
                <w:sz w:val="16"/>
              </w:rPr>
              <w:t xml:space="preserve">Efficiency ratio </w:t>
            </w:r>
            <w:r w:rsidRPr="00307428">
              <w:rPr>
                <w:color w:val="00000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45B500AD" w14:textId="77777777" w:rsidR="0008228C" w:rsidRDefault="0008228C"/>
        </w:tc>
        <w:tc>
          <w:tcPr>
            <w:tcW w:w="2160" w:type="dxa"/>
            <w:tcBorders>
              <w:top w:val="double" w:sz="8" w:space="0" w:color="000000"/>
              <w:left w:val="nil"/>
              <w:bottom w:val="nil"/>
              <w:right w:val="nil"/>
            </w:tcBorders>
            <w:tcMar>
              <w:top w:w="0" w:type="dxa"/>
              <w:left w:w="0" w:type="dxa"/>
              <w:bottom w:w="0" w:type="dxa"/>
              <w:right w:w="15" w:type="dxa"/>
            </w:tcMar>
            <w:vAlign w:val="bottom"/>
          </w:tcPr>
          <w:p w14:paraId="4BE7D8D2" w14:textId="77777777" w:rsidR="0008228C" w:rsidRDefault="00193375">
            <w:pPr>
              <w:tabs>
                <w:tab w:val="left" w:pos="1"/>
                <w:tab w:val="left" w:pos="336"/>
              </w:tabs>
              <w:spacing w:after="30" w:line="300" w:lineRule="auto"/>
              <w:jc w:val="right"/>
            </w:pPr>
            <w:r>
              <w:rPr>
                <w:color w:val="000000"/>
                <w:sz w:val="16"/>
              </w:rPr>
              <w:tab/>
              <w:t>80.2</w:t>
            </w:r>
            <w:r>
              <w:rPr>
                <w:color w:val="000000"/>
                <w:sz w:val="16"/>
              </w:rPr>
              <w:tab/>
              <w:t>%</w:t>
            </w:r>
          </w:p>
        </w:tc>
        <w:tc>
          <w:tcPr>
            <w:tcW w:w="60" w:type="dxa"/>
            <w:tcBorders>
              <w:top w:val="nil"/>
              <w:left w:val="nil"/>
              <w:bottom w:val="nil"/>
              <w:right w:val="nil"/>
            </w:tcBorders>
            <w:tcMar>
              <w:top w:w="0" w:type="dxa"/>
              <w:left w:w="0" w:type="dxa"/>
              <w:bottom w:w="0" w:type="dxa"/>
              <w:right w:w="15" w:type="dxa"/>
            </w:tcMar>
            <w:vAlign w:val="bottom"/>
          </w:tcPr>
          <w:p w14:paraId="1875C051" w14:textId="77777777" w:rsidR="0008228C" w:rsidRDefault="0008228C">
            <w:pPr>
              <w:spacing w:after="30" w:line="300" w:lineRule="auto"/>
              <w:jc w:val="right"/>
            </w:pPr>
          </w:p>
        </w:tc>
        <w:tc>
          <w:tcPr>
            <w:tcW w:w="2160" w:type="dxa"/>
            <w:tcBorders>
              <w:top w:val="double" w:sz="8" w:space="0" w:color="000000"/>
              <w:left w:val="nil"/>
              <w:bottom w:val="nil"/>
              <w:right w:val="nil"/>
            </w:tcBorders>
            <w:tcMar>
              <w:top w:w="0" w:type="dxa"/>
              <w:left w:w="0" w:type="dxa"/>
              <w:bottom w:w="0" w:type="dxa"/>
              <w:right w:w="15" w:type="dxa"/>
            </w:tcMar>
            <w:vAlign w:val="bottom"/>
          </w:tcPr>
          <w:p w14:paraId="785F9699" w14:textId="77777777" w:rsidR="0008228C" w:rsidRDefault="00193375">
            <w:pPr>
              <w:tabs>
                <w:tab w:val="left" w:pos="1"/>
                <w:tab w:val="left" w:pos="336"/>
              </w:tabs>
              <w:spacing w:after="30" w:line="300" w:lineRule="auto"/>
              <w:jc w:val="right"/>
            </w:pPr>
            <w:r>
              <w:rPr>
                <w:color w:val="000000"/>
                <w:sz w:val="16"/>
              </w:rPr>
              <w:tab/>
              <w:t>71.3</w:t>
            </w:r>
            <w:r>
              <w:rPr>
                <w:color w:val="000000"/>
                <w:sz w:val="16"/>
              </w:rPr>
              <w:tab/>
              <w:t>%</w:t>
            </w:r>
          </w:p>
        </w:tc>
        <w:tc>
          <w:tcPr>
            <w:tcW w:w="60" w:type="dxa"/>
            <w:tcBorders>
              <w:top w:val="nil"/>
              <w:left w:val="nil"/>
              <w:bottom w:val="nil"/>
              <w:right w:val="nil"/>
            </w:tcBorders>
            <w:tcMar>
              <w:top w:w="0" w:type="dxa"/>
              <w:left w:w="0" w:type="dxa"/>
              <w:bottom w:w="0" w:type="dxa"/>
              <w:right w:w="15" w:type="dxa"/>
            </w:tcMar>
            <w:vAlign w:val="bottom"/>
          </w:tcPr>
          <w:p w14:paraId="06216E1C" w14:textId="77777777" w:rsidR="0008228C" w:rsidRDefault="0008228C">
            <w:pPr>
              <w:spacing w:after="30" w:line="300" w:lineRule="auto"/>
              <w:jc w:val="right"/>
            </w:pPr>
          </w:p>
        </w:tc>
        <w:tc>
          <w:tcPr>
            <w:tcW w:w="2160" w:type="dxa"/>
            <w:tcBorders>
              <w:top w:val="double" w:sz="8" w:space="0" w:color="000000"/>
              <w:left w:val="nil"/>
              <w:bottom w:val="nil"/>
              <w:right w:val="nil"/>
            </w:tcBorders>
            <w:tcMar>
              <w:top w:w="0" w:type="dxa"/>
              <w:left w:w="0" w:type="dxa"/>
              <w:bottom w:w="0" w:type="dxa"/>
              <w:right w:w="15" w:type="dxa"/>
            </w:tcMar>
            <w:vAlign w:val="bottom"/>
          </w:tcPr>
          <w:p w14:paraId="4B89EBD5" w14:textId="77777777" w:rsidR="0008228C" w:rsidRDefault="00193375">
            <w:pPr>
              <w:tabs>
                <w:tab w:val="left" w:pos="1"/>
                <w:tab w:val="left" w:pos="336"/>
              </w:tabs>
              <w:spacing w:after="30" w:line="300" w:lineRule="auto"/>
              <w:jc w:val="right"/>
            </w:pPr>
            <w:r>
              <w:rPr>
                <w:color w:val="000000"/>
                <w:sz w:val="16"/>
              </w:rPr>
              <w:tab/>
              <w:t>84.8</w:t>
            </w:r>
            <w:r>
              <w:rPr>
                <w:color w:val="000000"/>
                <w:sz w:val="16"/>
              </w:rPr>
              <w:tab/>
              <w:t>%</w:t>
            </w:r>
          </w:p>
        </w:tc>
      </w:tr>
      <w:tr w:rsidR="0008228C" w14:paraId="4EEFAB6B" w14:textId="77777777">
        <w:trPr>
          <w:cantSplit/>
          <w:trHeight w:hRule="exact" w:val="315"/>
        </w:trPr>
        <w:tc>
          <w:tcPr>
            <w:tcW w:w="4140" w:type="dxa"/>
            <w:tcBorders>
              <w:top w:val="nil"/>
              <w:left w:val="nil"/>
              <w:bottom w:val="nil"/>
              <w:right w:val="nil"/>
            </w:tcBorders>
            <w:tcMar>
              <w:top w:w="0" w:type="dxa"/>
              <w:left w:w="0" w:type="dxa"/>
              <w:bottom w:w="0" w:type="dxa"/>
              <w:right w:w="0" w:type="dxa"/>
            </w:tcMar>
            <w:vAlign w:val="bottom"/>
          </w:tcPr>
          <w:p w14:paraId="167EE899"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DADE1A4"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32B622ED"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066A97B"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4D807CD2"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541536A"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4629DC27" w14:textId="77777777" w:rsidR="0008228C" w:rsidRDefault="0008228C"/>
        </w:tc>
      </w:tr>
      <w:tr w:rsidR="0008228C" w14:paraId="75B5817E" w14:textId="77777777">
        <w:trPr>
          <w:cantSplit/>
          <w:trHeight w:hRule="exact" w:val="240"/>
        </w:trPr>
        <w:tc>
          <w:tcPr>
            <w:tcW w:w="4140" w:type="dxa"/>
            <w:tcBorders>
              <w:top w:val="nil"/>
              <w:left w:val="nil"/>
              <w:bottom w:val="single" w:sz="8" w:space="0" w:color="000000"/>
              <w:right w:val="nil"/>
            </w:tcBorders>
            <w:tcMar>
              <w:top w:w="0" w:type="dxa"/>
              <w:left w:w="53" w:type="dxa"/>
              <w:bottom w:w="0" w:type="dxa"/>
              <w:right w:w="53" w:type="dxa"/>
            </w:tcMar>
            <w:vAlign w:val="bottom"/>
          </w:tcPr>
          <w:p w14:paraId="5B900D3F" w14:textId="77777777" w:rsidR="0008228C" w:rsidRDefault="00193375">
            <w:pPr>
              <w:spacing w:before="53" w:after="30" w:line="300" w:lineRule="auto"/>
            </w:pPr>
            <w:r>
              <w:rPr>
                <w:b/>
                <w:color w:val="000000"/>
                <w:sz w:val="16"/>
              </w:rPr>
              <w:t>Pre-tax pre-provision income</w:t>
            </w:r>
          </w:p>
        </w:tc>
        <w:tc>
          <w:tcPr>
            <w:tcW w:w="60" w:type="dxa"/>
            <w:tcBorders>
              <w:top w:val="nil"/>
              <w:left w:val="nil"/>
              <w:bottom w:val="nil"/>
              <w:right w:val="nil"/>
            </w:tcBorders>
            <w:tcMar>
              <w:top w:w="0" w:type="dxa"/>
              <w:left w:w="0" w:type="dxa"/>
              <w:bottom w:w="0" w:type="dxa"/>
              <w:right w:w="0" w:type="dxa"/>
            </w:tcMar>
            <w:vAlign w:val="bottom"/>
          </w:tcPr>
          <w:p w14:paraId="405920E0"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364EF5EF"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E3DB362"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70177D1B"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0277217"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1450AACF" w14:textId="77777777" w:rsidR="0008228C" w:rsidRDefault="0008228C"/>
        </w:tc>
      </w:tr>
      <w:tr w:rsidR="0008228C" w14:paraId="2E7B26EA" w14:textId="77777777">
        <w:trPr>
          <w:cantSplit/>
          <w:trHeight w:hRule="exact" w:val="240"/>
        </w:trPr>
        <w:tc>
          <w:tcPr>
            <w:tcW w:w="4140" w:type="dxa"/>
            <w:tcBorders>
              <w:top w:val="single" w:sz="8" w:space="0" w:color="000000"/>
              <w:left w:val="nil"/>
              <w:bottom w:val="nil"/>
              <w:right w:val="nil"/>
            </w:tcBorders>
            <w:tcMar>
              <w:top w:w="0" w:type="dxa"/>
              <w:left w:w="53" w:type="dxa"/>
              <w:bottom w:w="0" w:type="dxa"/>
              <w:right w:w="53" w:type="dxa"/>
            </w:tcMar>
            <w:vAlign w:val="bottom"/>
          </w:tcPr>
          <w:p w14:paraId="4F35A4C0" w14:textId="77777777" w:rsidR="0008228C" w:rsidRDefault="00193375">
            <w:pPr>
              <w:spacing w:before="33" w:after="30" w:line="300" w:lineRule="auto"/>
            </w:pPr>
            <w:r>
              <w:rPr>
                <w:color w:val="000000"/>
                <w:sz w:val="16"/>
              </w:rPr>
              <w:t>Net interest income</w:t>
            </w:r>
          </w:p>
        </w:tc>
        <w:tc>
          <w:tcPr>
            <w:tcW w:w="60" w:type="dxa"/>
            <w:tcBorders>
              <w:top w:val="nil"/>
              <w:left w:val="nil"/>
              <w:bottom w:val="nil"/>
              <w:right w:val="nil"/>
            </w:tcBorders>
            <w:tcMar>
              <w:top w:w="0" w:type="dxa"/>
              <w:left w:w="0" w:type="dxa"/>
              <w:bottom w:w="0" w:type="dxa"/>
              <w:right w:w="0" w:type="dxa"/>
            </w:tcMar>
            <w:vAlign w:val="bottom"/>
          </w:tcPr>
          <w:p w14:paraId="57FE3BD4"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4F4A2B4D" w14:textId="77777777" w:rsidR="0008228C" w:rsidRDefault="00193375">
            <w:pPr>
              <w:tabs>
                <w:tab w:val="left" w:pos="1467"/>
                <w:tab w:val="left" w:pos="2092"/>
              </w:tabs>
              <w:spacing w:before="33" w:after="30" w:line="300" w:lineRule="auto"/>
              <w:jc w:val="right"/>
            </w:pPr>
            <w:r>
              <w:rPr>
                <w:color w:val="000000"/>
                <w:sz w:val="16"/>
              </w:rPr>
              <w:t>$</w:t>
            </w:r>
            <w:r>
              <w:rPr>
                <w:color w:val="000000"/>
                <w:sz w:val="16"/>
              </w:rPr>
              <w:tab/>
              <w:t>17,795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B6C0967" w14:textId="77777777" w:rsidR="0008228C" w:rsidRDefault="0008228C">
            <w:pPr>
              <w:spacing w:before="3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2AB1ABDB" w14:textId="77777777" w:rsidR="0008228C" w:rsidRDefault="00193375">
            <w:pPr>
              <w:tabs>
                <w:tab w:val="left" w:pos="1467"/>
                <w:tab w:val="left" w:pos="2092"/>
              </w:tabs>
              <w:spacing w:before="33" w:after="30" w:line="300" w:lineRule="auto"/>
              <w:jc w:val="right"/>
            </w:pPr>
            <w:r>
              <w:rPr>
                <w:color w:val="000000"/>
                <w:sz w:val="16"/>
              </w:rPr>
              <w:t>$</w:t>
            </w:r>
            <w:r>
              <w:rPr>
                <w:color w:val="000000"/>
                <w:sz w:val="16"/>
              </w:rPr>
              <w:tab/>
              <w:t>20,333</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D1AB8B6" w14:textId="77777777" w:rsidR="0008228C" w:rsidRDefault="0008228C">
            <w:pPr>
              <w:spacing w:before="3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052D1B40" w14:textId="77777777" w:rsidR="0008228C" w:rsidRDefault="00193375">
            <w:pPr>
              <w:tabs>
                <w:tab w:val="left" w:pos="1467"/>
                <w:tab w:val="left" w:pos="2092"/>
              </w:tabs>
              <w:spacing w:before="33" w:after="30" w:line="300" w:lineRule="auto"/>
              <w:jc w:val="right"/>
            </w:pPr>
            <w:r>
              <w:rPr>
                <w:color w:val="000000"/>
                <w:sz w:val="16"/>
              </w:rPr>
              <w:t>$</w:t>
            </w:r>
            <w:r>
              <w:rPr>
                <w:color w:val="000000"/>
                <w:sz w:val="16"/>
              </w:rPr>
              <w:tab/>
              <w:t>12,639</w:t>
            </w:r>
            <w:r>
              <w:rPr>
                <w:color w:val="000000"/>
                <w:sz w:val="16"/>
              </w:rPr>
              <w:tab/>
            </w:r>
          </w:p>
        </w:tc>
      </w:tr>
      <w:tr w:rsidR="0008228C" w14:paraId="3EB2DED2"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4590AF7B" w14:textId="77777777" w:rsidR="0008228C" w:rsidRDefault="00193375">
            <w:pPr>
              <w:spacing w:before="53" w:after="30" w:line="300" w:lineRule="auto"/>
            </w:pPr>
            <w:r>
              <w:rPr>
                <w:color w:val="000000"/>
                <w:sz w:val="16"/>
              </w:rPr>
              <w:t>Noninterest income</w:t>
            </w:r>
          </w:p>
        </w:tc>
        <w:tc>
          <w:tcPr>
            <w:tcW w:w="60" w:type="dxa"/>
            <w:tcBorders>
              <w:top w:val="nil"/>
              <w:left w:val="nil"/>
              <w:bottom w:val="nil"/>
              <w:right w:val="nil"/>
            </w:tcBorders>
            <w:tcMar>
              <w:top w:w="0" w:type="dxa"/>
              <w:left w:w="0" w:type="dxa"/>
              <w:bottom w:w="0" w:type="dxa"/>
              <w:right w:w="0" w:type="dxa"/>
            </w:tcMar>
            <w:vAlign w:val="bottom"/>
          </w:tcPr>
          <w:p w14:paraId="5AA8DEAB" w14:textId="77777777" w:rsidR="0008228C" w:rsidRDefault="0008228C"/>
        </w:tc>
        <w:tc>
          <w:tcPr>
            <w:tcW w:w="2160" w:type="dxa"/>
            <w:tcBorders>
              <w:top w:val="nil"/>
              <w:left w:val="nil"/>
              <w:bottom w:val="single" w:sz="8" w:space="0" w:color="000000"/>
              <w:right w:val="nil"/>
            </w:tcBorders>
            <w:tcMar>
              <w:top w:w="0" w:type="dxa"/>
              <w:left w:w="0" w:type="dxa"/>
              <w:bottom w:w="0" w:type="dxa"/>
              <w:right w:w="15" w:type="dxa"/>
            </w:tcMar>
            <w:vAlign w:val="bottom"/>
          </w:tcPr>
          <w:p w14:paraId="1B732FEC" w14:textId="77777777" w:rsidR="0008228C" w:rsidRDefault="00193375">
            <w:pPr>
              <w:tabs>
                <w:tab w:val="left" w:pos="1547"/>
                <w:tab w:val="left" w:pos="2092"/>
              </w:tabs>
              <w:spacing w:before="53" w:after="30" w:line="300" w:lineRule="auto"/>
              <w:jc w:val="right"/>
            </w:pPr>
            <w:r>
              <w:rPr>
                <w:color w:val="000000"/>
                <w:sz w:val="16"/>
              </w:rPr>
              <w:tab/>
              <w:t>1,603</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2D02367E"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48F15DBC" w14:textId="77777777" w:rsidR="0008228C" w:rsidRDefault="00193375">
            <w:pPr>
              <w:tabs>
                <w:tab w:val="left" w:pos="1667"/>
                <w:tab w:val="left" w:pos="2092"/>
              </w:tabs>
              <w:spacing w:before="53" w:after="30" w:line="300" w:lineRule="auto"/>
              <w:jc w:val="right"/>
            </w:pPr>
            <w:r>
              <w:rPr>
                <w:color w:val="000000"/>
                <w:sz w:val="16"/>
              </w:rPr>
              <w:tab/>
              <w:t>526</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EA5C697"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68C09221" w14:textId="77777777" w:rsidR="0008228C" w:rsidRDefault="00193375">
            <w:pPr>
              <w:tabs>
                <w:tab w:val="left" w:pos="1667"/>
                <w:tab w:val="left" w:pos="2092"/>
              </w:tabs>
              <w:spacing w:before="53" w:after="30" w:line="300" w:lineRule="auto"/>
              <w:jc w:val="right"/>
            </w:pPr>
            <w:r>
              <w:rPr>
                <w:color w:val="000000"/>
                <w:sz w:val="16"/>
              </w:rPr>
              <w:tab/>
              <w:t>548</w:t>
            </w:r>
            <w:r>
              <w:rPr>
                <w:color w:val="000000"/>
                <w:sz w:val="16"/>
              </w:rPr>
              <w:tab/>
            </w:r>
          </w:p>
        </w:tc>
      </w:tr>
      <w:tr w:rsidR="0008228C" w14:paraId="33045BC7"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6F1AE82A" w14:textId="77777777" w:rsidR="0008228C" w:rsidRDefault="00193375">
            <w:pPr>
              <w:spacing w:before="33" w:after="30" w:line="300" w:lineRule="auto"/>
            </w:pPr>
            <w:r>
              <w:rPr>
                <w:color w:val="000000"/>
                <w:sz w:val="16"/>
              </w:rPr>
              <w:t>Total net interest income and noninterest income</w:t>
            </w:r>
          </w:p>
        </w:tc>
        <w:tc>
          <w:tcPr>
            <w:tcW w:w="60" w:type="dxa"/>
            <w:tcBorders>
              <w:top w:val="nil"/>
              <w:left w:val="nil"/>
              <w:bottom w:val="nil"/>
              <w:right w:val="nil"/>
            </w:tcBorders>
            <w:tcMar>
              <w:top w:w="0" w:type="dxa"/>
              <w:left w:w="0" w:type="dxa"/>
              <w:bottom w:w="0" w:type="dxa"/>
              <w:right w:w="0" w:type="dxa"/>
            </w:tcMar>
            <w:vAlign w:val="bottom"/>
          </w:tcPr>
          <w:p w14:paraId="76499734" w14:textId="77777777" w:rsidR="0008228C" w:rsidRDefault="0008228C"/>
        </w:tc>
        <w:tc>
          <w:tcPr>
            <w:tcW w:w="2160" w:type="dxa"/>
            <w:tcBorders>
              <w:top w:val="single" w:sz="8" w:space="0" w:color="000000"/>
              <w:left w:val="nil"/>
              <w:bottom w:val="nil"/>
              <w:right w:val="nil"/>
            </w:tcBorders>
            <w:tcMar>
              <w:top w:w="0" w:type="dxa"/>
              <w:left w:w="0" w:type="dxa"/>
              <w:bottom w:w="0" w:type="dxa"/>
              <w:right w:w="15" w:type="dxa"/>
            </w:tcMar>
            <w:vAlign w:val="bottom"/>
          </w:tcPr>
          <w:p w14:paraId="003AA127" w14:textId="77777777" w:rsidR="0008228C" w:rsidRDefault="00193375">
            <w:pPr>
              <w:tabs>
                <w:tab w:val="left" w:pos="1467"/>
                <w:tab w:val="left" w:pos="2092"/>
              </w:tabs>
              <w:spacing w:before="33" w:after="30" w:line="300" w:lineRule="auto"/>
              <w:jc w:val="right"/>
            </w:pPr>
            <w:r>
              <w:rPr>
                <w:color w:val="000000"/>
                <w:sz w:val="16"/>
              </w:rPr>
              <w:tab/>
              <w:t>19,398</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4450100" w14:textId="77777777" w:rsidR="0008228C" w:rsidRDefault="0008228C">
            <w:pPr>
              <w:spacing w:before="33" w:after="30" w:line="300" w:lineRule="auto"/>
              <w:jc w:val="right"/>
            </w:pPr>
          </w:p>
        </w:tc>
        <w:tc>
          <w:tcPr>
            <w:tcW w:w="2160" w:type="dxa"/>
            <w:tcBorders>
              <w:top w:val="single" w:sz="8" w:space="0" w:color="000000"/>
              <w:left w:val="nil"/>
              <w:bottom w:val="nil"/>
              <w:right w:val="nil"/>
            </w:tcBorders>
            <w:tcMar>
              <w:top w:w="0" w:type="dxa"/>
              <w:left w:w="0" w:type="dxa"/>
              <w:bottom w:w="0" w:type="dxa"/>
              <w:right w:w="15" w:type="dxa"/>
            </w:tcMar>
            <w:vAlign w:val="bottom"/>
          </w:tcPr>
          <w:p w14:paraId="464440CE" w14:textId="77777777" w:rsidR="0008228C" w:rsidRDefault="00193375">
            <w:pPr>
              <w:tabs>
                <w:tab w:val="left" w:pos="1467"/>
                <w:tab w:val="left" w:pos="2092"/>
              </w:tabs>
              <w:spacing w:before="33" w:after="30" w:line="300" w:lineRule="auto"/>
              <w:jc w:val="right"/>
            </w:pPr>
            <w:r>
              <w:rPr>
                <w:color w:val="000000"/>
                <w:sz w:val="16"/>
              </w:rPr>
              <w:tab/>
              <w:t>20,859</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437704F7" w14:textId="77777777" w:rsidR="0008228C" w:rsidRDefault="0008228C">
            <w:pPr>
              <w:spacing w:before="33" w:after="30" w:line="300" w:lineRule="auto"/>
              <w:jc w:val="right"/>
            </w:pPr>
          </w:p>
        </w:tc>
        <w:tc>
          <w:tcPr>
            <w:tcW w:w="2160" w:type="dxa"/>
            <w:tcBorders>
              <w:top w:val="single" w:sz="8" w:space="0" w:color="000000"/>
              <w:left w:val="nil"/>
              <w:bottom w:val="nil"/>
              <w:right w:val="nil"/>
            </w:tcBorders>
            <w:tcMar>
              <w:top w:w="0" w:type="dxa"/>
              <w:left w:w="0" w:type="dxa"/>
              <w:bottom w:w="0" w:type="dxa"/>
              <w:right w:w="15" w:type="dxa"/>
            </w:tcMar>
            <w:vAlign w:val="bottom"/>
          </w:tcPr>
          <w:p w14:paraId="4806414F" w14:textId="77777777" w:rsidR="0008228C" w:rsidRDefault="00193375">
            <w:pPr>
              <w:tabs>
                <w:tab w:val="left" w:pos="1467"/>
                <w:tab w:val="left" w:pos="2092"/>
              </w:tabs>
              <w:spacing w:before="33" w:after="30" w:line="300" w:lineRule="auto"/>
              <w:jc w:val="right"/>
            </w:pPr>
            <w:r>
              <w:rPr>
                <w:color w:val="000000"/>
                <w:sz w:val="16"/>
              </w:rPr>
              <w:tab/>
              <w:t>13,187</w:t>
            </w:r>
            <w:r>
              <w:rPr>
                <w:color w:val="000000"/>
                <w:sz w:val="16"/>
              </w:rPr>
              <w:tab/>
            </w:r>
          </w:p>
        </w:tc>
      </w:tr>
      <w:tr w:rsidR="0008228C" w14:paraId="725A3489"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4941A03C" w14:textId="77777777" w:rsidR="0008228C" w:rsidRDefault="00193375">
            <w:pPr>
              <w:spacing w:before="53" w:after="30" w:line="300" w:lineRule="auto"/>
            </w:pPr>
            <w:r>
              <w:rPr>
                <w:color w:val="000000"/>
                <w:sz w:val="16"/>
              </w:rPr>
              <w:t>Less: Noninterest expense</w:t>
            </w:r>
          </w:p>
        </w:tc>
        <w:tc>
          <w:tcPr>
            <w:tcW w:w="60" w:type="dxa"/>
            <w:tcBorders>
              <w:top w:val="nil"/>
              <w:left w:val="nil"/>
              <w:bottom w:val="nil"/>
              <w:right w:val="nil"/>
            </w:tcBorders>
            <w:tcMar>
              <w:top w:w="0" w:type="dxa"/>
              <w:left w:w="0" w:type="dxa"/>
              <w:bottom w:w="0" w:type="dxa"/>
              <w:right w:w="0" w:type="dxa"/>
            </w:tcMar>
            <w:vAlign w:val="bottom"/>
          </w:tcPr>
          <w:p w14:paraId="75ACE773" w14:textId="77777777" w:rsidR="0008228C" w:rsidRDefault="0008228C"/>
        </w:tc>
        <w:tc>
          <w:tcPr>
            <w:tcW w:w="2160" w:type="dxa"/>
            <w:tcBorders>
              <w:top w:val="nil"/>
              <w:left w:val="nil"/>
              <w:bottom w:val="single" w:sz="8" w:space="0" w:color="000000"/>
              <w:right w:val="nil"/>
            </w:tcBorders>
            <w:tcMar>
              <w:top w:w="0" w:type="dxa"/>
              <w:left w:w="0" w:type="dxa"/>
              <w:bottom w:w="0" w:type="dxa"/>
              <w:right w:w="15" w:type="dxa"/>
            </w:tcMar>
            <w:vAlign w:val="bottom"/>
          </w:tcPr>
          <w:p w14:paraId="053815D3" w14:textId="77777777" w:rsidR="0008228C" w:rsidRDefault="00193375">
            <w:pPr>
              <w:tabs>
                <w:tab w:val="left" w:pos="1467"/>
                <w:tab w:val="left" w:pos="2092"/>
              </w:tabs>
              <w:spacing w:before="53" w:after="30" w:line="300" w:lineRule="auto"/>
              <w:jc w:val="right"/>
            </w:pPr>
            <w:r>
              <w:rPr>
                <w:color w:val="000000"/>
                <w:sz w:val="16"/>
              </w:rPr>
              <w:tab/>
              <w:t>15,552</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3A9FA9F"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3B007DBA" w14:textId="77777777" w:rsidR="0008228C" w:rsidRDefault="00193375">
            <w:pPr>
              <w:tabs>
                <w:tab w:val="left" w:pos="1467"/>
                <w:tab w:val="left" w:pos="2092"/>
              </w:tabs>
              <w:spacing w:before="53" w:after="30" w:line="300" w:lineRule="auto"/>
              <w:jc w:val="right"/>
            </w:pPr>
            <w:r>
              <w:rPr>
                <w:color w:val="000000"/>
                <w:sz w:val="16"/>
              </w:rPr>
              <w:tab/>
              <w:t>14,866</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CE42BDA"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78731785" w14:textId="77777777" w:rsidR="0008228C" w:rsidRDefault="00193375">
            <w:pPr>
              <w:tabs>
                <w:tab w:val="left" w:pos="1467"/>
                <w:tab w:val="left" w:pos="2092"/>
              </w:tabs>
              <w:spacing w:before="53" w:after="30" w:line="300" w:lineRule="auto"/>
              <w:jc w:val="right"/>
            </w:pPr>
            <w:r>
              <w:rPr>
                <w:color w:val="000000"/>
                <w:sz w:val="16"/>
              </w:rPr>
              <w:tab/>
              <w:t>11,178</w:t>
            </w:r>
            <w:r>
              <w:rPr>
                <w:color w:val="000000"/>
                <w:sz w:val="16"/>
              </w:rPr>
              <w:tab/>
            </w:r>
          </w:p>
        </w:tc>
      </w:tr>
      <w:tr w:rsidR="0008228C" w14:paraId="51A14EC1"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099E6947" w14:textId="77777777" w:rsidR="0008228C" w:rsidRDefault="00193375">
            <w:pPr>
              <w:spacing w:before="33" w:after="30" w:line="300" w:lineRule="auto"/>
            </w:pPr>
            <w:r>
              <w:rPr>
                <w:color w:val="000000"/>
                <w:sz w:val="16"/>
              </w:rPr>
              <w:t xml:space="preserve">Pre-tax pre-provision income </w:t>
            </w:r>
            <w:r w:rsidRPr="00307428">
              <w:rPr>
                <w:color w:val="00000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1D3985DD" w14:textId="77777777" w:rsidR="0008228C" w:rsidRDefault="0008228C"/>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42D1242F" w14:textId="77777777" w:rsidR="0008228C" w:rsidRDefault="00193375">
            <w:pPr>
              <w:tabs>
                <w:tab w:val="left" w:pos="1547"/>
                <w:tab w:val="left" w:pos="2092"/>
              </w:tabs>
              <w:spacing w:before="33" w:after="30" w:line="300" w:lineRule="auto"/>
              <w:jc w:val="right"/>
            </w:pPr>
            <w:r>
              <w:rPr>
                <w:color w:val="000000"/>
                <w:sz w:val="16"/>
              </w:rPr>
              <w:t>$</w:t>
            </w:r>
            <w:r>
              <w:rPr>
                <w:color w:val="000000"/>
                <w:sz w:val="16"/>
              </w:rPr>
              <w:tab/>
              <w:t>3,846</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C66020D" w14:textId="77777777" w:rsidR="0008228C" w:rsidRDefault="0008228C">
            <w:pPr>
              <w:spacing w:before="33" w:after="30" w:line="300" w:lineRule="auto"/>
              <w:jc w:val="right"/>
            </w:pPr>
          </w:p>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2069AAE7" w14:textId="77777777" w:rsidR="0008228C" w:rsidRDefault="00193375">
            <w:pPr>
              <w:tabs>
                <w:tab w:val="left" w:pos="1547"/>
                <w:tab w:val="left" w:pos="2092"/>
              </w:tabs>
              <w:spacing w:before="33" w:after="30" w:line="300" w:lineRule="auto"/>
              <w:jc w:val="right"/>
            </w:pPr>
            <w:r>
              <w:rPr>
                <w:color w:val="000000"/>
                <w:sz w:val="16"/>
              </w:rPr>
              <w:t>$</w:t>
            </w:r>
            <w:r>
              <w:rPr>
                <w:color w:val="000000"/>
                <w:sz w:val="16"/>
              </w:rPr>
              <w:tab/>
              <w:t>5,993</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0CE3544" w14:textId="77777777" w:rsidR="0008228C" w:rsidRDefault="0008228C">
            <w:pPr>
              <w:spacing w:before="33" w:after="30" w:line="300" w:lineRule="auto"/>
              <w:jc w:val="right"/>
            </w:pPr>
          </w:p>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51DE20E8" w14:textId="77777777" w:rsidR="0008228C" w:rsidRDefault="00193375">
            <w:pPr>
              <w:tabs>
                <w:tab w:val="left" w:pos="1547"/>
                <w:tab w:val="left" w:pos="2092"/>
              </w:tabs>
              <w:spacing w:before="33" w:after="30" w:line="300" w:lineRule="auto"/>
              <w:jc w:val="right"/>
            </w:pPr>
            <w:r>
              <w:rPr>
                <w:color w:val="000000"/>
                <w:sz w:val="16"/>
              </w:rPr>
              <w:t>$</w:t>
            </w:r>
            <w:r>
              <w:rPr>
                <w:color w:val="000000"/>
                <w:sz w:val="16"/>
              </w:rPr>
              <w:tab/>
              <w:t>2,009</w:t>
            </w:r>
            <w:r>
              <w:rPr>
                <w:color w:val="000000"/>
                <w:sz w:val="16"/>
              </w:rPr>
              <w:tab/>
            </w:r>
          </w:p>
        </w:tc>
      </w:tr>
      <w:tr w:rsidR="0008228C" w14:paraId="4B33450A" w14:textId="77777777">
        <w:trPr>
          <w:cantSplit/>
          <w:trHeight w:hRule="exact" w:val="255"/>
        </w:trPr>
        <w:tc>
          <w:tcPr>
            <w:tcW w:w="4140" w:type="dxa"/>
            <w:tcBorders>
              <w:top w:val="nil"/>
              <w:left w:val="nil"/>
              <w:bottom w:val="nil"/>
              <w:right w:val="nil"/>
            </w:tcBorders>
            <w:tcMar>
              <w:top w:w="0" w:type="dxa"/>
              <w:left w:w="0" w:type="dxa"/>
              <w:bottom w:w="0" w:type="dxa"/>
              <w:right w:w="0" w:type="dxa"/>
            </w:tcMar>
            <w:vAlign w:val="bottom"/>
          </w:tcPr>
          <w:p w14:paraId="34572039"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D7C09F2" w14:textId="77777777" w:rsidR="0008228C" w:rsidRDefault="0008228C"/>
        </w:tc>
        <w:tc>
          <w:tcPr>
            <w:tcW w:w="2160" w:type="dxa"/>
            <w:tcBorders>
              <w:top w:val="double" w:sz="8" w:space="0" w:color="000000"/>
              <w:left w:val="nil"/>
              <w:bottom w:val="nil"/>
              <w:right w:val="nil"/>
            </w:tcBorders>
            <w:tcMar>
              <w:top w:w="0" w:type="dxa"/>
              <w:left w:w="0" w:type="dxa"/>
              <w:bottom w:w="0" w:type="dxa"/>
              <w:right w:w="0" w:type="dxa"/>
            </w:tcMar>
            <w:vAlign w:val="bottom"/>
          </w:tcPr>
          <w:p w14:paraId="6A963738"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1FD142ED" w14:textId="77777777" w:rsidR="0008228C" w:rsidRDefault="0008228C"/>
        </w:tc>
        <w:tc>
          <w:tcPr>
            <w:tcW w:w="2160" w:type="dxa"/>
            <w:tcBorders>
              <w:top w:val="double" w:sz="8" w:space="0" w:color="000000"/>
              <w:left w:val="nil"/>
              <w:bottom w:val="nil"/>
              <w:right w:val="nil"/>
            </w:tcBorders>
            <w:tcMar>
              <w:top w:w="0" w:type="dxa"/>
              <w:left w:w="0" w:type="dxa"/>
              <w:bottom w:w="0" w:type="dxa"/>
              <w:right w:w="0" w:type="dxa"/>
            </w:tcMar>
            <w:vAlign w:val="bottom"/>
          </w:tcPr>
          <w:p w14:paraId="3A0140EF"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5D24EB90" w14:textId="77777777" w:rsidR="0008228C" w:rsidRDefault="0008228C"/>
        </w:tc>
        <w:tc>
          <w:tcPr>
            <w:tcW w:w="2160" w:type="dxa"/>
            <w:tcBorders>
              <w:top w:val="double" w:sz="8" w:space="0" w:color="000000"/>
              <w:left w:val="nil"/>
              <w:bottom w:val="nil"/>
              <w:right w:val="nil"/>
            </w:tcBorders>
            <w:tcMar>
              <w:top w:w="0" w:type="dxa"/>
              <w:left w:w="0" w:type="dxa"/>
              <w:bottom w:w="0" w:type="dxa"/>
              <w:right w:w="0" w:type="dxa"/>
            </w:tcMar>
            <w:vAlign w:val="bottom"/>
          </w:tcPr>
          <w:p w14:paraId="6C6DCBE0" w14:textId="77777777" w:rsidR="0008228C" w:rsidRDefault="0008228C"/>
        </w:tc>
      </w:tr>
      <w:tr w:rsidR="0008228C" w14:paraId="7B1F4C94" w14:textId="77777777">
        <w:trPr>
          <w:cantSplit/>
          <w:trHeight w:hRule="exact" w:val="240"/>
        </w:trPr>
        <w:tc>
          <w:tcPr>
            <w:tcW w:w="4140" w:type="dxa"/>
            <w:tcBorders>
              <w:top w:val="nil"/>
              <w:left w:val="nil"/>
              <w:bottom w:val="single" w:sz="8" w:space="0" w:color="000000"/>
              <w:right w:val="nil"/>
            </w:tcBorders>
            <w:tcMar>
              <w:top w:w="0" w:type="dxa"/>
              <w:left w:w="53" w:type="dxa"/>
              <w:bottom w:w="0" w:type="dxa"/>
              <w:right w:w="53" w:type="dxa"/>
            </w:tcMar>
            <w:vAlign w:val="bottom"/>
          </w:tcPr>
          <w:p w14:paraId="08EC636F" w14:textId="77777777" w:rsidR="0008228C" w:rsidRDefault="00193375">
            <w:pPr>
              <w:spacing w:before="53" w:after="30" w:line="300" w:lineRule="auto"/>
            </w:pPr>
            <w:r>
              <w:rPr>
                <w:b/>
                <w:color w:val="000000"/>
                <w:sz w:val="16"/>
              </w:rPr>
              <w:t>Return on Average Assets, Equity, and Tangible Equity</w:t>
            </w:r>
          </w:p>
        </w:tc>
        <w:tc>
          <w:tcPr>
            <w:tcW w:w="60" w:type="dxa"/>
            <w:tcBorders>
              <w:top w:val="nil"/>
              <w:left w:val="nil"/>
              <w:bottom w:val="nil"/>
              <w:right w:val="nil"/>
            </w:tcBorders>
            <w:tcMar>
              <w:top w:w="0" w:type="dxa"/>
              <w:left w:w="0" w:type="dxa"/>
              <w:bottom w:w="0" w:type="dxa"/>
              <w:right w:w="0" w:type="dxa"/>
            </w:tcMar>
            <w:vAlign w:val="bottom"/>
          </w:tcPr>
          <w:p w14:paraId="6FAF41C8"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317B9928"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DAF64FA"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7CC1B5AA"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E633BDC"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2FFC3F90" w14:textId="77777777" w:rsidR="0008228C" w:rsidRDefault="0008228C"/>
        </w:tc>
      </w:tr>
      <w:tr w:rsidR="0008228C" w14:paraId="1C63613D" w14:textId="77777777">
        <w:trPr>
          <w:cantSplit/>
          <w:trHeight w:hRule="exact" w:val="240"/>
        </w:trPr>
        <w:tc>
          <w:tcPr>
            <w:tcW w:w="4140" w:type="dxa"/>
            <w:tcBorders>
              <w:top w:val="single" w:sz="8" w:space="0" w:color="000000"/>
              <w:left w:val="nil"/>
              <w:bottom w:val="nil"/>
              <w:right w:val="nil"/>
            </w:tcBorders>
            <w:tcMar>
              <w:top w:w="0" w:type="dxa"/>
              <w:left w:w="53" w:type="dxa"/>
              <w:bottom w:w="0" w:type="dxa"/>
              <w:right w:w="53" w:type="dxa"/>
            </w:tcMar>
            <w:vAlign w:val="bottom"/>
          </w:tcPr>
          <w:p w14:paraId="7AC9BEBA" w14:textId="77777777" w:rsidR="0008228C" w:rsidRDefault="00193375">
            <w:pPr>
              <w:spacing w:before="33" w:after="30" w:line="300" w:lineRule="auto"/>
            </w:pPr>
            <w:r>
              <w:rPr>
                <w:color w:val="000000"/>
                <w:sz w:val="16"/>
              </w:rPr>
              <w:t>Net income</w:t>
            </w:r>
          </w:p>
        </w:tc>
        <w:tc>
          <w:tcPr>
            <w:tcW w:w="60" w:type="dxa"/>
            <w:tcBorders>
              <w:top w:val="nil"/>
              <w:left w:val="nil"/>
              <w:bottom w:val="nil"/>
              <w:right w:val="nil"/>
            </w:tcBorders>
            <w:tcMar>
              <w:top w:w="0" w:type="dxa"/>
              <w:left w:w="0" w:type="dxa"/>
              <w:bottom w:w="0" w:type="dxa"/>
              <w:right w:w="0" w:type="dxa"/>
            </w:tcMar>
            <w:vAlign w:val="bottom"/>
          </w:tcPr>
          <w:p w14:paraId="28A6D43E"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23290CF1" w14:textId="77777777" w:rsidR="0008228C" w:rsidRDefault="00193375">
            <w:pPr>
              <w:tabs>
                <w:tab w:val="left" w:pos="1547"/>
                <w:tab w:val="left" w:pos="2092"/>
              </w:tabs>
              <w:spacing w:before="33" w:after="30" w:line="300" w:lineRule="auto"/>
              <w:jc w:val="right"/>
            </w:pPr>
            <w:r>
              <w:rPr>
                <w:color w:val="000000"/>
                <w:sz w:val="16"/>
              </w:rPr>
              <w:t>$</w:t>
            </w:r>
            <w:r>
              <w:rPr>
                <w:color w:val="000000"/>
                <w:sz w:val="16"/>
              </w:rPr>
              <w:tab/>
              <w:t>1,446</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8E238CA" w14:textId="77777777" w:rsidR="0008228C" w:rsidRDefault="0008228C">
            <w:pPr>
              <w:spacing w:before="3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19A982EA" w14:textId="77777777" w:rsidR="0008228C" w:rsidRDefault="00193375">
            <w:pPr>
              <w:tabs>
                <w:tab w:val="left" w:pos="1547"/>
                <w:tab w:val="left" w:pos="2092"/>
              </w:tabs>
              <w:spacing w:before="33" w:after="30" w:line="300" w:lineRule="auto"/>
              <w:jc w:val="right"/>
            </w:pPr>
            <w:r>
              <w:rPr>
                <w:color w:val="000000"/>
                <w:sz w:val="16"/>
              </w:rPr>
              <w:t>$</w:t>
            </w:r>
            <w:r>
              <w:rPr>
                <w:color w:val="000000"/>
                <w:sz w:val="16"/>
              </w:rPr>
              <w:tab/>
              <w:t>3,375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7100348" w14:textId="77777777" w:rsidR="0008228C" w:rsidRDefault="0008228C">
            <w:pPr>
              <w:spacing w:before="3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5C5AA471" w14:textId="77777777" w:rsidR="0008228C" w:rsidRDefault="00193375">
            <w:pPr>
              <w:tabs>
                <w:tab w:val="left" w:pos="1547"/>
                <w:tab w:val="left" w:pos="2092"/>
              </w:tabs>
              <w:spacing w:before="33" w:after="30" w:line="300" w:lineRule="auto"/>
              <w:jc w:val="right"/>
            </w:pPr>
            <w:r>
              <w:rPr>
                <w:color w:val="000000"/>
                <w:sz w:val="16"/>
              </w:rPr>
              <w:t>$</w:t>
            </w:r>
            <w:r>
              <w:rPr>
                <w:color w:val="000000"/>
                <w:sz w:val="16"/>
              </w:rPr>
              <w:tab/>
              <w:t>1,431</w:t>
            </w:r>
            <w:r>
              <w:rPr>
                <w:color w:val="000000"/>
                <w:sz w:val="16"/>
              </w:rPr>
              <w:tab/>
            </w:r>
          </w:p>
        </w:tc>
      </w:tr>
      <w:tr w:rsidR="0008228C" w14:paraId="0B38A018" w14:textId="77777777">
        <w:trPr>
          <w:cantSplit/>
          <w:trHeight w:hRule="exact" w:val="60"/>
        </w:trPr>
        <w:tc>
          <w:tcPr>
            <w:tcW w:w="4140" w:type="dxa"/>
            <w:tcBorders>
              <w:top w:val="nil"/>
              <w:left w:val="nil"/>
              <w:bottom w:val="nil"/>
              <w:right w:val="nil"/>
            </w:tcBorders>
            <w:tcMar>
              <w:top w:w="0" w:type="dxa"/>
              <w:left w:w="53" w:type="dxa"/>
              <w:bottom w:w="0" w:type="dxa"/>
              <w:right w:w="53" w:type="dxa"/>
            </w:tcMar>
            <w:vAlign w:val="bottom"/>
          </w:tcPr>
          <w:p w14:paraId="2B962100" w14:textId="77777777" w:rsidR="0008228C" w:rsidRDefault="0008228C">
            <w:pPr>
              <w:spacing w:before="53" w:after="30" w:line="300" w:lineRule="auto"/>
            </w:pPr>
          </w:p>
        </w:tc>
        <w:tc>
          <w:tcPr>
            <w:tcW w:w="60" w:type="dxa"/>
            <w:tcBorders>
              <w:top w:val="nil"/>
              <w:left w:val="nil"/>
              <w:bottom w:val="nil"/>
              <w:right w:val="nil"/>
            </w:tcBorders>
            <w:tcMar>
              <w:top w:w="0" w:type="dxa"/>
              <w:left w:w="0" w:type="dxa"/>
              <w:bottom w:w="0" w:type="dxa"/>
              <w:right w:w="0" w:type="dxa"/>
            </w:tcMar>
            <w:vAlign w:val="bottom"/>
          </w:tcPr>
          <w:p w14:paraId="397CCD8C"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03E657D1"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15" w:type="dxa"/>
            </w:tcMar>
            <w:vAlign w:val="bottom"/>
          </w:tcPr>
          <w:p w14:paraId="36C3AC3E"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0BB38CA9" w14:textId="77777777" w:rsidR="0008228C" w:rsidRDefault="0008228C">
            <w:pPr>
              <w:spacing w:before="53" w:after="30" w:line="300" w:lineRule="auto"/>
              <w:jc w:val="right"/>
            </w:pPr>
          </w:p>
        </w:tc>
        <w:tc>
          <w:tcPr>
            <w:tcW w:w="60" w:type="dxa"/>
            <w:tcBorders>
              <w:top w:val="nil"/>
              <w:left w:val="nil"/>
              <w:bottom w:val="nil"/>
              <w:right w:val="nil"/>
            </w:tcBorders>
            <w:tcMar>
              <w:top w:w="0" w:type="dxa"/>
              <w:left w:w="0" w:type="dxa"/>
              <w:bottom w:w="0" w:type="dxa"/>
              <w:right w:w="15" w:type="dxa"/>
            </w:tcMar>
            <w:vAlign w:val="bottom"/>
          </w:tcPr>
          <w:p w14:paraId="0227E379"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4F4E55A6" w14:textId="77777777" w:rsidR="0008228C" w:rsidRDefault="0008228C">
            <w:pPr>
              <w:spacing w:before="53" w:after="30" w:line="300" w:lineRule="auto"/>
              <w:jc w:val="right"/>
            </w:pPr>
          </w:p>
        </w:tc>
      </w:tr>
      <w:tr w:rsidR="0008228C" w14:paraId="76282CBE"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16627A95" w14:textId="77777777" w:rsidR="0008228C" w:rsidRDefault="00193375">
            <w:pPr>
              <w:spacing w:before="53" w:after="30" w:line="300" w:lineRule="auto"/>
            </w:pPr>
            <w:r>
              <w:rPr>
                <w:color w:val="000000"/>
                <w:sz w:val="16"/>
              </w:rPr>
              <w:t>Average assets</w:t>
            </w:r>
          </w:p>
        </w:tc>
        <w:tc>
          <w:tcPr>
            <w:tcW w:w="60" w:type="dxa"/>
            <w:tcBorders>
              <w:top w:val="nil"/>
              <w:left w:val="nil"/>
              <w:bottom w:val="nil"/>
              <w:right w:val="nil"/>
            </w:tcBorders>
            <w:tcMar>
              <w:top w:w="0" w:type="dxa"/>
              <w:left w:w="0" w:type="dxa"/>
              <w:bottom w:w="0" w:type="dxa"/>
              <w:right w:w="0" w:type="dxa"/>
            </w:tcMar>
            <w:vAlign w:val="bottom"/>
          </w:tcPr>
          <w:p w14:paraId="5B057301"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7B19D523" w14:textId="77777777" w:rsidR="0008228C" w:rsidRDefault="00193375">
            <w:pPr>
              <w:tabs>
                <w:tab w:val="left" w:pos="1267"/>
                <w:tab w:val="left" w:pos="2092"/>
              </w:tabs>
              <w:spacing w:before="53" w:after="30" w:line="300" w:lineRule="auto"/>
              <w:jc w:val="right"/>
            </w:pPr>
            <w:r>
              <w:rPr>
                <w:color w:val="000000"/>
                <w:sz w:val="16"/>
              </w:rPr>
              <w:tab/>
              <w:t>2,259,801</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29128F82"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4818485D" w14:textId="77777777" w:rsidR="0008228C" w:rsidRDefault="00193375">
            <w:pPr>
              <w:tabs>
                <w:tab w:val="left" w:pos="1267"/>
                <w:tab w:val="left" w:pos="2092"/>
              </w:tabs>
              <w:spacing w:before="53" w:after="30" w:line="300" w:lineRule="auto"/>
              <w:jc w:val="right"/>
            </w:pPr>
            <w:r>
              <w:rPr>
                <w:color w:val="000000"/>
                <w:sz w:val="16"/>
              </w:rPr>
              <w:tab/>
              <w:t>2,293,377</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669D0554"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30E256C9" w14:textId="77777777" w:rsidR="0008228C" w:rsidRDefault="00193375">
            <w:pPr>
              <w:tabs>
                <w:tab w:val="left" w:pos="1267"/>
                <w:tab w:val="left" w:pos="2092"/>
              </w:tabs>
              <w:spacing w:before="53" w:after="30" w:line="300" w:lineRule="auto"/>
              <w:jc w:val="right"/>
            </w:pPr>
            <w:r>
              <w:rPr>
                <w:color w:val="000000"/>
                <w:sz w:val="16"/>
              </w:rPr>
              <w:tab/>
              <w:t>1,601,162</w:t>
            </w:r>
            <w:r>
              <w:rPr>
                <w:color w:val="000000"/>
                <w:sz w:val="16"/>
              </w:rPr>
              <w:tab/>
            </w:r>
          </w:p>
        </w:tc>
      </w:tr>
      <w:tr w:rsidR="0008228C" w14:paraId="4C98B923"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7E49590D" w14:textId="77777777" w:rsidR="0008228C" w:rsidRDefault="00193375">
            <w:pPr>
              <w:spacing w:before="53" w:after="30" w:line="300" w:lineRule="auto"/>
            </w:pPr>
            <w:r>
              <w:rPr>
                <w:color w:val="000000"/>
                <w:sz w:val="16"/>
              </w:rPr>
              <w:t>Average shareholders' equity</w:t>
            </w:r>
          </w:p>
        </w:tc>
        <w:tc>
          <w:tcPr>
            <w:tcW w:w="60" w:type="dxa"/>
            <w:tcBorders>
              <w:top w:val="nil"/>
              <w:left w:val="nil"/>
              <w:bottom w:val="nil"/>
              <w:right w:val="nil"/>
            </w:tcBorders>
            <w:tcMar>
              <w:top w:w="0" w:type="dxa"/>
              <w:left w:w="0" w:type="dxa"/>
              <w:bottom w:w="0" w:type="dxa"/>
              <w:right w:w="0" w:type="dxa"/>
            </w:tcMar>
            <w:vAlign w:val="bottom"/>
          </w:tcPr>
          <w:p w14:paraId="5EEA3471"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59EAC278" w14:textId="77777777" w:rsidR="0008228C" w:rsidRDefault="00193375">
            <w:pPr>
              <w:tabs>
                <w:tab w:val="left" w:pos="1387"/>
                <w:tab w:val="left" w:pos="2092"/>
              </w:tabs>
              <w:spacing w:before="53" w:after="30" w:line="300" w:lineRule="auto"/>
              <w:jc w:val="right"/>
            </w:pPr>
            <w:r>
              <w:rPr>
                <w:color w:val="000000"/>
                <w:sz w:val="16"/>
              </w:rPr>
              <w:t>$</w:t>
            </w:r>
            <w:r>
              <w:rPr>
                <w:color w:val="000000"/>
                <w:sz w:val="16"/>
              </w:rPr>
              <w:tab/>
              <w:t>247,730</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E335342"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320DC067" w14:textId="77777777" w:rsidR="0008228C" w:rsidRDefault="00193375">
            <w:pPr>
              <w:tabs>
                <w:tab w:val="left" w:pos="1387"/>
                <w:tab w:val="left" w:pos="2092"/>
              </w:tabs>
              <w:spacing w:before="53" w:after="30" w:line="300" w:lineRule="auto"/>
              <w:jc w:val="right"/>
            </w:pPr>
            <w:r>
              <w:rPr>
                <w:color w:val="000000"/>
                <w:sz w:val="16"/>
              </w:rPr>
              <w:t>$</w:t>
            </w:r>
            <w:r>
              <w:rPr>
                <w:color w:val="000000"/>
                <w:sz w:val="16"/>
              </w:rPr>
              <w:tab/>
              <w:t>244,795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49AF673"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57ED7B1C" w14:textId="77777777" w:rsidR="0008228C" w:rsidRDefault="00193375">
            <w:pPr>
              <w:tabs>
                <w:tab w:val="left" w:pos="1387"/>
                <w:tab w:val="left" w:pos="2092"/>
              </w:tabs>
              <w:spacing w:before="53" w:after="30" w:line="300" w:lineRule="auto"/>
              <w:jc w:val="right"/>
            </w:pPr>
            <w:r>
              <w:rPr>
                <w:color w:val="000000"/>
                <w:sz w:val="16"/>
              </w:rPr>
              <w:t>$</w:t>
            </w:r>
            <w:r>
              <w:rPr>
                <w:color w:val="000000"/>
                <w:sz w:val="16"/>
              </w:rPr>
              <w:tab/>
              <w:t>170,363</w:t>
            </w:r>
            <w:r>
              <w:rPr>
                <w:color w:val="000000"/>
                <w:sz w:val="16"/>
              </w:rPr>
              <w:tab/>
            </w:r>
          </w:p>
        </w:tc>
      </w:tr>
      <w:tr w:rsidR="0008228C" w14:paraId="77DB785D"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1A0356FF" w14:textId="77777777" w:rsidR="0008228C" w:rsidRDefault="00193375">
            <w:pPr>
              <w:spacing w:before="53" w:after="30" w:line="300" w:lineRule="auto"/>
            </w:pPr>
            <w:r>
              <w:rPr>
                <w:color w:val="000000"/>
                <w:sz w:val="16"/>
              </w:rPr>
              <w:t>Less: Average intangible assets</w:t>
            </w:r>
          </w:p>
        </w:tc>
        <w:tc>
          <w:tcPr>
            <w:tcW w:w="60" w:type="dxa"/>
            <w:tcBorders>
              <w:top w:val="nil"/>
              <w:left w:val="nil"/>
              <w:bottom w:val="nil"/>
              <w:right w:val="nil"/>
            </w:tcBorders>
            <w:tcMar>
              <w:top w:w="0" w:type="dxa"/>
              <w:left w:w="0" w:type="dxa"/>
              <w:bottom w:w="0" w:type="dxa"/>
              <w:right w:w="0" w:type="dxa"/>
            </w:tcMar>
            <w:vAlign w:val="bottom"/>
          </w:tcPr>
          <w:p w14:paraId="0D2D41F7" w14:textId="77777777" w:rsidR="0008228C" w:rsidRDefault="0008228C"/>
        </w:tc>
        <w:tc>
          <w:tcPr>
            <w:tcW w:w="2160" w:type="dxa"/>
            <w:tcBorders>
              <w:top w:val="nil"/>
              <w:left w:val="nil"/>
              <w:bottom w:val="single" w:sz="8" w:space="0" w:color="000000"/>
              <w:right w:val="nil"/>
            </w:tcBorders>
            <w:tcMar>
              <w:top w:w="0" w:type="dxa"/>
              <w:left w:w="0" w:type="dxa"/>
              <w:bottom w:w="0" w:type="dxa"/>
              <w:right w:w="15" w:type="dxa"/>
            </w:tcMar>
            <w:vAlign w:val="bottom"/>
          </w:tcPr>
          <w:p w14:paraId="1C486598" w14:textId="77777777" w:rsidR="0008228C" w:rsidRDefault="00193375">
            <w:pPr>
              <w:tabs>
                <w:tab w:val="left" w:pos="1467"/>
                <w:tab w:val="left" w:pos="2092"/>
              </w:tabs>
              <w:spacing w:before="53" w:after="30" w:line="300" w:lineRule="auto"/>
              <w:jc w:val="right"/>
            </w:pPr>
            <w:r>
              <w:rPr>
                <w:color w:val="000000"/>
                <w:sz w:val="16"/>
              </w:rPr>
              <w:tab/>
              <w:t>38,760</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206E28ED"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3D24C21F" w14:textId="77777777" w:rsidR="0008228C" w:rsidRDefault="00193375">
            <w:pPr>
              <w:tabs>
                <w:tab w:val="left" w:pos="1467"/>
                <w:tab w:val="left" w:pos="2092"/>
              </w:tabs>
              <w:spacing w:before="53" w:after="30" w:line="300" w:lineRule="auto"/>
              <w:jc w:val="right"/>
            </w:pPr>
            <w:r>
              <w:rPr>
                <w:color w:val="000000"/>
                <w:sz w:val="16"/>
              </w:rPr>
              <w:tab/>
              <w:t>34,475</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4637F7AD"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6C258E92" w14:textId="77777777" w:rsidR="0008228C" w:rsidRDefault="00193375">
            <w:pPr>
              <w:tabs>
                <w:tab w:val="left" w:pos="1467"/>
                <w:tab w:val="left" w:pos="2092"/>
              </w:tabs>
              <w:spacing w:before="53" w:after="30" w:line="300" w:lineRule="auto"/>
              <w:jc w:val="right"/>
            </w:pPr>
            <w:r>
              <w:rPr>
                <w:color w:val="000000"/>
                <w:sz w:val="16"/>
              </w:rPr>
              <w:tab/>
              <w:t>21,561</w:t>
            </w:r>
            <w:r>
              <w:rPr>
                <w:color w:val="000000"/>
                <w:sz w:val="16"/>
              </w:rPr>
              <w:tab/>
            </w:r>
          </w:p>
        </w:tc>
      </w:tr>
      <w:tr w:rsidR="0008228C" w14:paraId="70E0A362"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39A57568" w14:textId="77777777" w:rsidR="0008228C" w:rsidRDefault="00193375">
            <w:pPr>
              <w:spacing w:before="33" w:after="30" w:line="300" w:lineRule="auto"/>
            </w:pPr>
            <w:r>
              <w:rPr>
                <w:color w:val="000000"/>
                <w:sz w:val="16"/>
              </w:rPr>
              <w:t xml:space="preserve">Average tangible common equity </w:t>
            </w:r>
            <w:r w:rsidRPr="00307428">
              <w:rPr>
                <w:color w:val="00000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1B95E6BB" w14:textId="77777777" w:rsidR="0008228C" w:rsidRDefault="0008228C"/>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60C16681" w14:textId="77777777" w:rsidR="0008228C" w:rsidRDefault="00193375">
            <w:pPr>
              <w:tabs>
                <w:tab w:val="left" w:pos="1387"/>
                <w:tab w:val="left" w:pos="2092"/>
              </w:tabs>
              <w:spacing w:before="33" w:after="30" w:line="300" w:lineRule="auto"/>
              <w:jc w:val="right"/>
            </w:pPr>
            <w:r>
              <w:rPr>
                <w:color w:val="000000"/>
                <w:sz w:val="16"/>
              </w:rPr>
              <w:t>$</w:t>
            </w:r>
            <w:r>
              <w:rPr>
                <w:color w:val="000000"/>
                <w:sz w:val="16"/>
              </w:rPr>
              <w:tab/>
              <w:t>208,970</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6864325" w14:textId="77777777" w:rsidR="0008228C" w:rsidRDefault="0008228C">
            <w:pPr>
              <w:spacing w:before="33" w:after="30" w:line="300" w:lineRule="auto"/>
              <w:jc w:val="right"/>
            </w:pPr>
          </w:p>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17CACBF1" w14:textId="77777777" w:rsidR="0008228C" w:rsidRDefault="00193375">
            <w:pPr>
              <w:tabs>
                <w:tab w:val="left" w:pos="1387"/>
                <w:tab w:val="left" w:pos="2092"/>
              </w:tabs>
              <w:spacing w:before="33" w:after="30" w:line="300" w:lineRule="auto"/>
              <w:jc w:val="right"/>
            </w:pPr>
            <w:r>
              <w:rPr>
                <w:color w:val="000000"/>
                <w:sz w:val="16"/>
              </w:rPr>
              <w:t>$</w:t>
            </w:r>
            <w:r>
              <w:rPr>
                <w:color w:val="000000"/>
                <w:sz w:val="16"/>
              </w:rPr>
              <w:tab/>
              <w:t>210,320</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9FEACCC" w14:textId="77777777" w:rsidR="0008228C" w:rsidRDefault="0008228C">
            <w:pPr>
              <w:spacing w:before="33" w:after="30" w:line="300" w:lineRule="auto"/>
              <w:jc w:val="right"/>
            </w:pPr>
          </w:p>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1A37FC8E" w14:textId="77777777" w:rsidR="0008228C" w:rsidRDefault="00193375">
            <w:pPr>
              <w:tabs>
                <w:tab w:val="left" w:pos="1387"/>
                <w:tab w:val="left" w:pos="2092"/>
              </w:tabs>
              <w:spacing w:before="33" w:after="30" w:line="300" w:lineRule="auto"/>
              <w:jc w:val="right"/>
            </w:pPr>
            <w:r>
              <w:rPr>
                <w:color w:val="000000"/>
                <w:sz w:val="16"/>
              </w:rPr>
              <w:t>$</w:t>
            </w:r>
            <w:r>
              <w:rPr>
                <w:color w:val="000000"/>
                <w:sz w:val="16"/>
              </w:rPr>
              <w:tab/>
              <w:t>148,802</w:t>
            </w:r>
            <w:r>
              <w:rPr>
                <w:color w:val="000000"/>
                <w:sz w:val="16"/>
              </w:rPr>
              <w:tab/>
            </w:r>
          </w:p>
        </w:tc>
      </w:tr>
      <w:tr w:rsidR="0008228C" w14:paraId="0356C7FA"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74E8D199" w14:textId="77777777" w:rsidR="0008228C" w:rsidRDefault="00193375">
            <w:pPr>
              <w:spacing w:after="30" w:line="300" w:lineRule="auto"/>
            </w:pPr>
            <w:r>
              <w:rPr>
                <w:color w:val="000000"/>
                <w:sz w:val="16"/>
              </w:rPr>
              <w:t>Return on average assets</w:t>
            </w:r>
          </w:p>
        </w:tc>
        <w:tc>
          <w:tcPr>
            <w:tcW w:w="60" w:type="dxa"/>
            <w:tcBorders>
              <w:top w:val="nil"/>
              <w:left w:val="nil"/>
              <w:bottom w:val="nil"/>
              <w:right w:val="nil"/>
            </w:tcBorders>
            <w:tcMar>
              <w:top w:w="0" w:type="dxa"/>
              <w:left w:w="0" w:type="dxa"/>
              <w:bottom w:w="0" w:type="dxa"/>
              <w:right w:w="0" w:type="dxa"/>
            </w:tcMar>
            <w:vAlign w:val="bottom"/>
          </w:tcPr>
          <w:p w14:paraId="22BDC31C" w14:textId="77777777" w:rsidR="0008228C" w:rsidRDefault="0008228C"/>
        </w:tc>
        <w:tc>
          <w:tcPr>
            <w:tcW w:w="2160" w:type="dxa"/>
            <w:tcBorders>
              <w:top w:val="double" w:sz="8" w:space="0" w:color="000000"/>
              <w:left w:val="nil"/>
              <w:bottom w:val="nil"/>
              <w:right w:val="nil"/>
            </w:tcBorders>
            <w:tcMar>
              <w:top w:w="0" w:type="dxa"/>
              <w:left w:w="0" w:type="dxa"/>
              <w:bottom w:w="0" w:type="dxa"/>
              <w:right w:w="15" w:type="dxa"/>
            </w:tcMar>
            <w:vAlign w:val="bottom"/>
          </w:tcPr>
          <w:p w14:paraId="64F2CBA2" w14:textId="77777777" w:rsidR="0008228C" w:rsidRDefault="00193375">
            <w:pPr>
              <w:tabs>
                <w:tab w:val="left" w:pos="1"/>
                <w:tab w:val="left" w:pos="336"/>
              </w:tabs>
              <w:spacing w:after="30" w:line="300" w:lineRule="auto"/>
              <w:jc w:val="right"/>
            </w:pPr>
            <w:r>
              <w:rPr>
                <w:color w:val="000000"/>
                <w:sz w:val="16"/>
              </w:rPr>
              <w:tab/>
              <w:t>0.26</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517AE41C" w14:textId="77777777" w:rsidR="0008228C" w:rsidRDefault="0008228C">
            <w:pPr>
              <w:spacing w:after="30" w:line="300" w:lineRule="auto"/>
              <w:jc w:val="right"/>
            </w:pPr>
          </w:p>
        </w:tc>
        <w:tc>
          <w:tcPr>
            <w:tcW w:w="2160" w:type="dxa"/>
            <w:tcBorders>
              <w:top w:val="double" w:sz="8" w:space="0" w:color="000000"/>
              <w:left w:val="nil"/>
              <w:bottom w:val="nil"/>
              <w:right w:val="nil"/>
            </w:tcBorders>
            <w:tcMar>
              <w:top w:w="0" w:type="dxa"/>
              <w:left w:w="0" w:type="dxa"/>
              <w:bottom w:w="0" w:type="dxa"/>
              <w:right w:w="15" w:type="dxa"/>
            </w:tcMar>
            <w:vAlign w:val="bottom"/>
          </w:tcPr>
          <w:p w14:paraId="728DF357" w14:textId="77777777" w:rsidR="0008228C" w:rsidRDefault="00193375">
            <w:pPr>
              <w:tabs>
                <w:tab w:val="left" w:pos="1"/>
                <w:tab w:val="left" w:pos="336"/>
              </w:tabs>
              <w:spacing w:after="30" w:line="300" w:lineRule="auto"/>
              <w:jc w:val="right"/>
            </w:pPr>
            <w:r>
              <w:rPr>
                <w:color w:val="000000"/>
                <w:sz w:val="16"/>
              </w:rPr>
              <w:tab/>
              <w:t>0.58</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4ABD4365" w14:textId="77777777" w:rsidR="0008228C" w:rsidRDefault="0008228C">
            <w:pPr>
              <w:spacing w:after="30" w:line="300" w:lineRule="auto"/>
              <w:jc w:val="right"/>
            </w:pPr>
          </w:p>
        </w:tc>
        <w:tc>
          <w:tcPr>
            <w:tcW w:w="2160" w:type="dxa"/>
            <w:tcBorders>
              <w:top w:val="double" w:sz="8" w:space="0" w:color="000000"/>
              <w:left w:val="nil"/>
              <w:bottom w:val="nil"/>
              <w:right w:val="nil"/>
            </w:tcBorders>
            <w:tcMar>
              <w:top w:w="0" w:type="dxa"/>
              <w:left w:w="0" w:type="dxa"/>
              <w:bottom w:w="0" w:type="dxa"/>
              <w:right w:w="15" w:type="dxa"/>
            </w:tcMar>
            <w:vAlign w:val="bottom"/>
          </w:tcPr>
          <w:p w14:paraId="59CF5E05" w14:textId="77777777" w:rsidR="0008228C" w:rsidRDefault="00193375">
            <w:pPr>
              <w:tabs>
                <w:tab w:val="left" w:pos="1"/>
                <w:tab w:val="left" w:pos="336"/>
              </w:tabs>
              <w:spacing w:after="30" w:line="300" w:lineRule="auto"/>
              <w:jc w:val="right"/>
            </w:pPr>
            <w:r>
              <w:rPr>
                <w:color w:val="000000"/>
                <w:sz w:val="16"/>
              </w:rPr>
              <w:tab/>
              <w:t>0.36</w:t>
            </w:r>
            <w:r>
              <w:rPr>
                <w:color w:val="000000"/>
                <w:sz w:val="16"/>
              </w:rPr>
              <w:tab/>
              <w:t>%</w:t>
            </w:r>
          </w:p>
        </w:tc>
      </w:tr>
      <w:tr w:rsidR="0008228C" w14:paraId="499D10C9"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33427359" w14:textId="77777777" w:rsidR="0008228C" w:rsidRDefault="00193375">
            <w:pPr>
              <w:spacing w:before="53" w:after="30" w:line="300" w:lineRule="auto"/>
            </w:pPr>
            <w:r>
              <w:rPr>
                <w:color w:val="000000"/>
                <w:sz w:val="16"/>
              </w:rPr>
              <w:t>Return on average equity</w:t>
            </w:r>
          </w:p>
        </w:tc>
        <w:tc>
          <w:tcPr>
            <w:tcW w:w="60" w:type="dxa"/>
            <w:tcBorders>
              <w:top w:val="nil"/>
              <w:left w:val="nil"/>
              <w:bottom w:val="nil"/>
              <w:right w:val="nil"/>
            </w:tcBorders>
            <w:tcMar>
              <w:top w:w="0" w:type="dxa"/>
              <w:left w:w="0" w:type="dxa"/>
              <w:bottom w:w="0" w:type="dxa"/>
              <w:right w:w="0" w:type="dxa"/>
            </w:tcMar>
            <w:vAlign w:val="bottom"/>
          </w:tcPr>
          <w:p w14:paraId="174FF9A6"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72290063" w14:textId="77777777" w:rsidR="0008228C" w:rsidRDefault="00193375">
            <w:pPr>
              <w:tabs>
                <w:tab w:val="left" w:pos="1"/>
                <w:tab w:val="left" w:pos="336"/>
              </w:tabs>
              <w:spacing w:before="53" w:after="30" w:line="300" w:lineRule="auto"/>
              <w:jc w:val="right"/>
            </w:pPr>
            <w:r>
              <w:rPr>
                <w:color w:val="000000"/>
                <w:sz w:val="16"/>
              </w:rPr>
              <w:tab/>
              <w:t>2.37</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2A00C0D0"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79F1C64C" w14:textId="77777777" w:rsidR="0008228C" w:rsidRDefault="00193375">
            <w:pPr>
              <w:tabs>
                <w:tab w:val="left" w:pos="1"/>
                <w:tab w:val="left" w:pos="336"/>
              </w:tabs>
              <w:spacing w:before="53" w:after="30" w:line="300" w:lineRule="auto"/>
              <w:jc w:val="right"/>
            </w:pPr>
            <w:r>
              <w:rPr>
                <w:color w:val="000000"/>
                <w:sz w:val="16"/>
              </w:rPr>
              <w:tab/>
              <w:t>5.47</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4B51508A"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098B8C96" w14:textId="77777777" w:rsidR="0008228C" w:rsidRDefault="00193375">
            <w:pPr>
              <w:tabs>
                <w:tab w:val="left" w:pos="1"/>
                <w:tab w:val="left" w:pos="336"/>
              </w:tabs>
              <w:spacing w:before="53" w:after="30" w:line="300" w:lineRule="auto"/>
              <w:jc w:val="right"/>
            </w:pPr>
            <w:r>
              <w:rPr>
                <w:color w:val="000000"/>
                <w:sz w:val="16"/>
              </w:rPr>
              <w:tab/>
              <w:t>3.41</w:t>
            </w:r>
            <w:r>
              <w:rPr>
                <w:color w:val="000000"/>
                <w:sz w:val="16"/>
              </w:rPr>
              <w:tab/>
              <w:t>%</w:t>
            </w:r>
          </w:p>
        </w:tc>
      </w:tr>
      <w:tr w:rsidR="0008228C" w14:paraId="690D9967"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2999D500" w14:textId="77777777" w:rsidR="0008228C" w:rsidRDefault="00193375">
            <w:pPr>
              <w:spacing w:before="53" w:after="30" w:line="300" w:lineRule="auto"/>
            </w:pPr>
            <w:r>
              <w:rPr>
                <w:color w:val="000000"/>
                <w:sz w:val="16"/>
              </w:rPr>
              <w:t xml:space="preserve">Return on average tangible common equity </w:t>
            </w:r>
            <w:r w:rsidRPr="00307428">
              <w:rPr>
                <w:color w:val="00000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0D8D1CA5"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7990AFE4" w14:textId="77777777" w:rsidR="0008228C" w:rsidRDefault="00193375">
            <w:pPr>
              <w:tabs>
                <w:tab w:val="left" w:pos="1"/>
                <w:tab w:val="left" w:pos="336"/>
              </w:tabs>
              <w:spacing w:before="53" w:after="30" w:line="300" w:lineRule="auto"/>
              <w:jc w:val="right"/>
            </w:pPr>
            <w:r>
              <w:rPr>
                <w:color w:val="000000"/>
                <w:sz w:val="16"/>
              </w:rPr>
              <w:tab/>
              <w:t>2.81</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3EB8C8BF"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51FA183C" w14:textId="77777777" w:rsidR="0008228C" w:rsidRDefault="00193375">
            <w:pPr>
              <w:tabs>
                <w:tab w:val="left" w:pos="1"/>
                <w:tab w:val="left" w:pos="336"/>
              </w:tabs>
              <w:spacing w:before="53" w:after="30" w:line="300" w:lineRule="auto"/>
              <w:jc w:val="right"/>
            </w:pPr>
            <w:r>
              <w:rPr>
                <w:color w:val="000000"/>
                <w:sz w:val="16"/>
              </w:rPr>
              <w:tab/>
              <w:t>6.37</w:t>
            </w:r>
            <w:r>
              <w:rPr>
                <w:color w:val="000000"/>
                <w:sz w:val="16"/>
              </w:rPr>
              <w:tab/>
              <w:t>%</w:t>
            </w:r>
          </w:p>
        </w:tc>
        <w:tc>
          <w:tcPr>
            <w:tcW w:w="60" w:type="dxa"/>
            <w:tcBorders>
              <w:top w:val="nil"/>
              <w:left w:val="nil"/>
              <w:bottom w:val="nil"/>
              <w:right w:val="nil"/>
            </w:tcBorders>
            <w:tcMar>
              <w:top w:w="0" w:type="dxa"/>
              <w:left w:w="0" w:type="dxa"/>
              <w:bottom w:w="0" w:type="dxa"/>
              <w:right w:w="53" w:type="dxa"/>
            </w:tcMar>
            <w:vAlign w:val="bottom"/>
          </w:tcPr>
          <w:p w14:paraId="02808F44"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1904D289" w14:textId="77777777" w:rsidR="0008228C" w:rsidRDefault="00193375">
            <w:pPr>
              <w:tabs>
                <w:tab w:val="left" w:pos="1"/>
                <w:tab w:val="left" w:pos="336"/>
              </w:tabs>
              <w:spacing w:before="53" w:after="30" w:line="300" w:lineRule="auto"/>
              <w:jc w:val="right"/>
            </w:pPr>
            <w:r>
              <w:rPr>
                <w:color w:val="000000"/>
                <w:sz w:val="16"/>
              </w:rPr>
              <w:tab/>
              <w:t>3.90</w:t>
            </w:r>
            <w:r>
              <w:rPr>
                <w:color w:val="000000"/>
                <w:sz w:val="16"/>
              </w:rPr>
              <w:tab/>
              <w:t>%</w:t>
            </w:r>
          </w:p>
        </w:tc>
      </w:tr>
      <w:tr w:rsidR="0008228C" w14:paraId="6ADC4A4C" w14:textId="77777777">
        <w:trPr>
          <w:cantSplit/>
          <w:trHeight w:hRule="exact" w:val="315"/>
        </w:trPr>
        <w:tc>
          <w:tcPr>
            <w:tcW w:w="4140" w:type="dxa"/>
            <w:tcBorders>
              <w:top w:val="nil"/>
              <w:left w:val="nil"/>
              <w:bottom w:val="nil"/>
              <w:right w:val="nil"/>
            </w:tcBorders>
            <w:tcMar>
              <w:top w:w="0" w:type="dxa"/>
              <w:left w:w="53" w:type="dxa"/>
              <w:bottom w:w="0" w:type="dxa"/>
              <w:right w:w="53" w:type="dxa"/>
            </w:tcMar>
            <w:vAlign w:val="bottom"/>
          </w:tcPr>
          <w:p w14:paraId="49C2E7C6" w14:textId="77777777" w:rsidR="0008228C" w:rsidRDefault="0008228C">
            <w:pPr>
              <w:spacing w:before="53" w:after="30" w:line="300" w:lineRule="auto"/>
            </w:pPr>
          </w:p>
        </w:tc>
        <w:tc>
          <w:tcPr>
            <w:tcW w:w="60" w:type="dxa"/>
            <w:tcBorders>
              <w:top w:val="nil"/>
              <w:left w:val="nil"/>
              <w:bottom w:val="nil"/>
              <w:right w:val="nil"/>
            </w:tcBorders>
            <w:tcMar>
              <w:top w:w="0" w:type="dxa"/>
              <w:left w:w="0" w:type="dxa"/>
              <w:bottom w:w="0" w:type="dxa"/>
              <w:right w:w="0" w:type="dxa"/>
            </w:tcMar>
            <w:vAlign w:val="bottom"/>
          </w:tcPr>
          <w:p w14:paraId="55426B39"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701850CE"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FE0ECA3"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22E32885"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7F96412B"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424EFA12" w14:textId="77777777" w:rsidR="0008228C" w:rsidRDefault="0008228C"/>
        </w:tc>
      </w:tr>
      <w:tr w:rsidR="0008228C" w14:paraId="19323620" w14:textId="77777777">
        <w:trPr>
          <w:cantSplit/>
          <w:trHeight w:hRule="exact" w:val="435"/>
        </w:trPr>
        <w:tc>
          <w:tcPr>
            <w:tcW w:w="4140" w:type="dxa"/>
            <w:tcBorders>
              <w:top w:val="nil"/>
              <w:left w:val="nil"/>
              <w:bottom w:val="single" w:sz="8" w:space="0" w:color="000000"/>
              <w:right w:val="nil"/>
            </w:tcBorders>
            <w:tcMar>
              <w:top w:w="0" w:type="dxa"/>
              <w:left w:w="53" w:type="dxa"/>
              <w:bottom w:w="0" w:type="dxa"/>
              <w:right w:w="53" w:type="dxa"/>
            </w:tcMar>
            <w:vAlign w:val="bottom"/>
          </w:tcPr>
          <w:p w14:paraId="201B2392" w14:textId="77777777" w:rsidR="0008228C" w:rsidRDefault="00193375">
            <w:pPr>
              <w:spacing w:before="53" w:after="30" w:line="300" w:lineRule="auto"/>
            </w:pPr>
            <w:r>
              <w:rPr>
                <w:b/>
                <w:color w:val="000000"/>
                <w:sz w:val="16"/>
              </w:rPr>
              <w:t>Tangible Common Equity Ratio/Tangible Book Value Per Share</w:t>
            </w:r>
          </w:p>
        </w:tc>
        <w:tc>
          <w:tcPr>
            <w:tcW w:w="60" w:type="dxa"/>
            <w:tcBorders>
              <w:top w:val="nil"/>
              <w:left w:val="nil"/>
              <w:bottom w:val="nil"/>
              <w:right w:val="nil"/>
            </w:tcBorders>
            <w:tcMar>
              <w:top w:w="0" w:type="dxa"/>
              <w:left w:w="0" w:type="dxa"/>
              <w:bottom w:w="0" w:type="dxa"/>
              <w:right w:w="0" w:type="dxa"/>
            </w:tcMar>
            <w:vAlign w:val="bottom"/>
          </w:tcPr>
          <w:p w14:paraId="4C30697C"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784BA4E4"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901BFC9"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2327265D"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2FF774EF" w14:textId="77777777" w:rsidR="0008228C" w:rsidRDefault="0008228C"/>
        </w:tc>
        <w:tc>
          <w:tcPr>
            <w:tcW w:w="2160" w:type="dxa"/>
            <w:tcBorders>
              <w:top w:val="nil"/>
              <w:left w:val="nil"/>
              <w:bottom w:val="nil"/>
              <w:right w:val="nil"/>
            </w:tcBorders>
            <w:tcMar>
              <w:top w:w="0" w:type="dxa"/>
              <w:left w:w="0" w:type="dxa"/>
              <w:bottom w:w="0" w:type="dxa"/>
              <w:right w:w="0" w:type="dxa"/>
            </w:tcMar>
            <w:vAlign w:val="bottom"/>
          </w:tcPr>
          <w:p w14:paraId="434DC2AD" w14:textId="77777777" w:rsidR="0008228C" w:rsidRDefault="0008228C"/>
        </w:tc>
      </w:tr>
      <w:tr w:rsidR="0008228C" w14:paraId="0F3F619F" w14:textId="77777777">
        <w:trPr>
          <w:cantSplit/>
          <w:trHeight w:hRule="exact" w:val="240"/>
        </w:trPr>
        <w:tc>
          <w:tcPr>
            <w:tcW w:w="4140" w:type="dxa"/>
            <w:tcBorders>
              <w:top w:val="single" w:sz="8" w:space="0" w:color="000000"/>
              <w:left w:val="nil"/>
              <w:bottom w:val="nil"/>
              <w:right w:val="nil"/>
            </w:tcBorders>
            <w:tcMar>
              <w:top w:w="0" w:type="dxa"/>
              <w:left w:w="53" w:type="dxa"/>
              <w:bottom w:w="0" w:type="dxa"/>
              <w:right w:w="53" w:type="dxa"/>
            </w:tcMar>
            <w:vAlign w:val="bottom"/>
          </w:tcPr>
          <w:p w14:paraId="365323D8" w14:textId="77777777" w:rsidR="0008228C" w:rsidRDefault="00193375">
            <w:pPr>
              <w:spacing w:before="33" w:after="30" w:line="300" w:lineRule="auto"/>
            </w:pPr>
            <w:r>
              <w:rPr>
                <w:color w:val="000000"/>
                <w:sz w:val="16"/>
              </w:rPr>
              <w:t>Shareholders' equity</w:t>
            </w:r>
          </w:p>
        </w:tc>
        <w:tc>
          <w:tcPr>
            <w:tcW w:w="60" w:type="dxa"/>
            <w:tcBorders>
              <w:top w:val="nil"/>
              <w:left w:val="nil"/>
              <w:bottom w:val="nil"/>
              <w:right w:val="nil"/>
            </w:tcBorders>
            <w:tcMar>
              <w:top w:w="0" w:type="dxa"/>
              <w:left w:w="0" w:type="dxa"/>
              <w:bottom w:w="0" w:type="dxa"/>
              <w:right w:w="0" w:type="dxa"/>
            </w:tcMar>
            <w:vAlign w:val="bottom"/>
          </w:tcPr>
          <w:p w14:paraId="2E92F47B"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56B9D272" w14:textId="77777777" w:rsidR="0008228C" w:rsidRDefault="00193375">
            <w:pPr>
              <w:tabs>
                <w:tab w:val="left" w:pos="1387"/>
                <w:tab w:val="left" w:pos="2092"/>
              </w:tabs>
              <w:spacing w:before="33" w:after="30" w:line="300" w:lineRule="auto"/>
              <w:jc w:val="right"/>
            </w:pPr>
            <w:r>
              <w:rPr>
                <w:color w:val="000000"/>
                <w:sz w:val="16"/>
              </w:rPr>
              <w:t>$</w:t>
            </w:r>
            <w:r>
              <w:rPr>
                <w:color w:val="000000"/>
                <w:sz w:val="16"/>
              </w:rPr>
              <w:tab/>
              <w:t>246,761</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1CB4F5C" w14:textId="77777777" w:rsidR="0008228C" w:rsidRDefault="0008228C">
            <w:pPr>
              <w:spacing w:before="3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5FB03E22" w14:textId="77777777" w:rsidR="0008228C" w:rsidRDefault="00193375">
            <w:pPr>
              <w:tabs>
                <w:tab w:val="left" w:pos="1387"/>
                <w:tab w:val="left" w:pos="2092"/>
              </w:tabs>
              <w:spacing w:before="33" w:after="30" w:line="300" w:lineRule="auto"/>
              <w:jc w:val="right"/>
            </w:pPr>
            <w:r>
              <w:rPr>
                <w:color w:val="000000"/>
                <w:sz w:val="16"/>
              </w:rPr>
              <w:t>$</w:t>
            </w:r>
            <w:r>
              <w:rPr>
                <w:color w:val="000000"/>
                <w:sz w:val="16"/>
              </w:rPr>
              <w:tab/>
              <w:t>246,528</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074C83A9"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1D638DB0" w14:textId="77777777" w:rsidR="0008228C" w:rsidRDefault="00193375">
            <w:pPr>
              <w:tabs>
                <w:tab w:val="left" w:pos="1387"/>
                <w:tab w:val="left" w:pos="2092"/>
              </w:tabs>
              <w:spacing w:before="33" w:after="30" w:line="300" w:lineRule="auto"/>
              <w:jc w:val="right"/>
            </w:pPr>
            <w:r>
              <w:rPr>
                <w:color w:val="000000"/>
                <w:sz w:val="16"/>
              </w:rPr>
              <w:t>$</w:t>
            </w:r>
            <w:r>
              <w:rPr>
                <w:color w:val="000000"/>
                <w:sz w:val="16"/>
              </w:rPr>
              <w:tab/>
              <w:t>171,066</w:t>
            </w:r>
            <w:r>
              <w:rPr>
                <w:color w:val="000000"/>
                <w:sz w:val="16"/>
              </w:rPr>
              <w:tab/>
            </w:r>
          </w:p>
        </w:tc>
      </w:tr>
      <w:tr w:rsidR="0008228C" w14:paraId="42DF4BE0"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0D90CB95" w14:textId="77777777" w:rsidR="0008228C" w:rsidRDefault="00193375">
            <w:pPr>
              <w:spacing w:before="53" w:after="30" w:line="300" w:lineRule="auto"/>
            </w:pPr>
            <w:r>
              <w:rPr>
                <w:color w:val="000000"/>
                <w:sz w:val="16"/>
              </w:rPr>
              <w:t>Less: Intangible assets</w:t>
            </w:r>
          </w:p>
        </w:tc>
        <w:tc>
          <w:tcPr>
            <w:tcW w:w="60" w:type="dxa"/>
            <w:tcBorders>
              <w:top w:val="nil"/>
              <w:left w:val="nil"/>
              <w:bottom w:val="nil"/>
              <w:right w:val="nil"/>
            </w:tcBorders>
            <w:tcMar>
              <w:top w:w="0" w:type="dxa"/>
              <w:left w:w="0" w:type="dxa"/>
              <w:bottom w:w="0" w:type="dxa"/>
              <w:right w:w="0" w:type="dxa"/>
            </w:tcMar>
            <w:vAlign w:val="bottom"/>
          </w:tcPr>
          <w:p w14:paraId="06DEDD29" w14:textId="77777777" w:rsidR="0008228C" w:rsidRDefault="0008228C"/>
        </w:tc>
        <w:tc>
          <w:tcPr>
            <w:tcW w:w="2160" w:type="dxa"/>
            <w:tcBorders>
              <w:top w:val="nil"/>
              <w:left w:val="nil"/>
              <w:bottom w:val="single" w:sz="8" w:space="0" w:color="000000"/>
              <w:right w:val="nil"/>
            </w:tcBorders>
            <w:tcMar>
              <w:top w:w="0" w:type="dxa"/>
              <w:left w:w="0" w:type="dxa"/>
              <w:bottom w:w="0" w:type="dxa"/>
              <w:right w:w="15" w:type="dxa"/>
            </w:tcMar>
            <w:vAlign w:val="bottom"/>
          </w:tcPr>
          <w:p w14:paraId="2ED7330E" w14:textId="77777777" w:rsidR="0008228C" w:rsidRDefault="00193375">
            <w:pPr>
              <w:tabs>
                <w:tab w:val="left" w:pos="1467"/>
                <w:tab w:val="left" w:pos="2092"/>
              </w:tabs>
              <w:spacing w:before="53" w:after="30" w:line="300" w:lineRule="auto"/>
              <w:jc w:val="right"/>
            </w:pPr>
            <w:r>
              <w:rPr>
                <w:color w:val="000000"/>
                <w:sz w:val="16"/>
              </w:rPr>
              <w:tab/>
              <w:t>38,707</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10CE6CAA"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5A2B81A9" w14:textId="77777777" w:rsidR="0008228C" w:rsidRDefault="00193375">
            <w:pPr>
              <w:tabs>
                <w:tab w:val="left" w:pos="1467"/>
                <w:tab w:val="left" w:pos="2092"/>
              </w:tabs>
              <w:spacing w:before="53" w:after="30" w:line="300" w:lineRule="auto"/>
              <w:jc w:val="right"/>
            </w:pPr>
            <w:r>
              <w:rPr>
                <w:color w:val="000000"/>
                <w:sz w:val="16"/>
              </w:rPr>
              <w:tab/>
              <w:t>38,806</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21A0A4F" w14:textId="77777777" w:rsidR="0008228C" w:rsidRDefault="0008228C"/>
        </w:tc>
        <w:tc>
          <w:tcPr>
            <w:tcW w:w="2160" w:type="dxa"/>
            <w:tcBorders>
              <w:top w:val="nil"/>
              <w:left w:val="nil"/>
              <w:bottom w:val="single" w:sz="8" w:space="0" w:color="000000"/>
              <w:right w:val="nil"/>
            </w:tcBorders>
            <w:tcMar>
              <w:top w:w="0" w:type="dxa"/>
              <w:left w:w="0" w:type="dxa"/>
              <w:bottom w:w="0" w:type="dxa"/>
              <w:right w:w="15" w:type="dxa"/>
            </w:tcMar>
            <w:vAlign w:val="bottom"/>
          </w:tcPr>
          <w:p w14:paraId="4C0A5157" w14:textId="77777777" w:rsidR="0008228C" w:rsidRDefault="00193375">
            <w:pPr>
              <w:tabs>
                <w:tab w:val="left" w:pos="1467"/>
                <w:tab w:val="left" w:pos="2092"/>
              </w:tabs>
              <w:spacing w:before="53" w:after="30" w:line="300" w:lineRule="auto"/>
              <w:jc w:val="right"/>
            </w:pPr>
            <w:r>
              <w:rPr>
                <w:color w:val="000000"/>
                <w:sz w:val="16"/>
              </w:rPr>
              <w:tab/>
              <w:t>21,511</w:t>
            </w:r>
            <w:r>
              <w:rPr>
                <w:color w:val="000000"/>
                <w:sz w:val="16"/>
              </w:rPr>
              <w:tab/>
            </w:r>
          </w:p>
        </w:tc>
      </w:tr>
      <w:tr w:rsidR="0008228C" w14:paraId="54BAD4E6"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0B6E9EFA" w14:textId="77777777" w:rsidR="0008228C" w:rsidRDefault="00193375">
            <w:pPr>
              <w:spacing w:before="33" w:after="30" w:line="300" w:lineRule="auto"/>
            </w:pPr>
            <w:r>
              <w:rPr>
                <w:color w:val="000000"/>
                <w:sz w:val="16"/>
              </w:rPr>
              <w:t xml:space="preserve">Tangible common equity </w:t>
            </w:r>
            <w:r w:rsidRPr="00307428">
              <w:rPr>
                <w:color w:val="00000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2DD5A50D" w14:textId="77777777" w:rsidR="0008228C" w:rsidRDefault="0008228C"/>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7829C174" w14:textId="77777777" w:rsidR="0008228C" w:rsidRDefault="00193375">
            <w:pPr>
              <w:tabs>
                <w:tab w:val="left" w:pos="1387"/>
                <w:tab w:val="left" w:pos="2092"/>
              </w:tabs>
              <w:spacing w:before="33" w:after="30" w:line="300" w:lineRule="auto"/>
              <w:jc w:val="right"/>
            </w:pPr>
            <w:r>
              <w:rPr>
                <w:color w:val="000000"/>
                <w:sz w:val="16"/>
              </w:rPr>
              <w:t>$</w:t>
            </w:r>
            <w:r>
              <w:rPr>
                <w:color w:val="000000"/>
                <w:sz w:val="16"/>
              </w:rPr>
              <w:tab/>
              <w:t>208,054</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4EF8842" w14:textId="77777777" w:rsidR="0008228C" w:rsidRDefault="0008228C">
            <w:pPr>
              <w:spacing w:before="33" w:after="30" w:line="300" w:lineRule="auto"/>
              <w:jc w:val="right"/>
            </w:pPr>
          </w:p>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244B3567" w14:textId="77777777" w:rsidR="0008228C" w:rsidRDefault="00193375">
            <w:pPr>
              <w:tabs>
                <w:tab w:val="left" w:pos="1387"/>
                <w:tab w:val="left" w:pos="2092"/>
              </w:tabs>
              <w:spacing w:before="33" w:after="30" w:line="300" w:lineRule="auto"/>
              <w:jc w:val="right"/>
            </w:pPr>
            <w:r>
              <w:rPr>
                <w:color w:val="000000"/>
                <w:sz w:val="16"/>
              </w:rPr>
              <w:t>$</w:t>
            </w:r>
            <w:r>
              <w:rPr>
                <w:color w:val="000000"/>
                <w:sz w:val="16"/>
              </w:rPr>
              <w:tab/>
              <w:t>207,722</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744C79C5" w14:textId="77777777" w:rsidR="0008228C" w:rsidRDefault="0008228C"/>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34E8741A" w14:textId="77777777" w:rsidR="0008228C" w:rsidRDefault="00193375">
            <w:pPr>
              <w:tabs>
                <w:tab w:val="left" w:pos="1387"/>
                <w:tab w:val="left" w:pos="2092"/>
              </w:tabs>
              <w:spacing w:before="33" w:after="30" w:line="300" w:lineRule="auto"/>
              <w:jc w:val="right"/>
            </w:pPr>
            <w:r>
              <w:rPr>
                <w:color w:val="000000"/>
                <w:sz w:val="16"/>
              </w:rPr>
              <w:t>$</w:t>
            </w:r>
            <w:r>
              <w:rPr>
                <w:color w:val="000000"/>
                <w:sz w:val="16"/>
              </w:rPr>
              <w:tab/>
              <w:t>149,555</w:t>
            </w:r>
            <w:r>
              <w:rPr>
                <w:color w:val="000000"/>
                <w:sz w:val="16"/>
              </w:rPr>
              <w:tab/>
            </w:r>
          </w:p>
        </w:tc>
      </w:tr>
      <w:tr w:rsidR="0008228C" w14:paraId="599AC7EE" w14:textId="77777777">
        <w:trPr>
          <w:cantSplit/>
          <w:trHeight w:hRule="exact" w:val="105"/>
        </w:trPr>
        <w:tc>
          <w:tcPr>
            <w:tcW w:w="4140" w:type="dxa"/>
            <w:tcBorders>
              <w:top w:val="nil"/>
              <w:left w:val="nil"/>
              <w:bottom w:val="nil"/>
              <w:right w:val="nil"/>
            </w:tcBorders>
            <w:tcMar>
              <w:top w:w="0" w:type="dxa"/>
              <w:left w:w="53" w:type="dxa"/>
              <w:bottom w:w="0" w:type="dxa"/>
              <w:right w:w="53" w:type="dxa"/>
            </w:tcMar>
            <w:vAlign w:val="bottom"/>
          </w:tcPr>
          <w:p w14:paraId="1E865206" w14:textId="77777777" w:rsidR="0008228C" w:rsidRDefault="0008228C">
            <w:pPr>
              <w:spacing w:after="30" w:line="300" w:lineRule="auto"/>
            </w:pPr>
          </w:p>
        </w:tc>
        <w:tc>
          <w:tcPr>
            <w:tcW w:w="60" w:type="dxa"/>
            <w:tcBorders>
              <w:top w:val="nil"/>
              <w:left w:val="nil"/>
              <w:bottom w:val="nil"/>
              <w:right w:val="nil"/>
            </w:tcBorders>
            <w:tcMar>
              <w:top w:w="0" w:type="dxa"/>
              <w:left w:w="0" w:type="dxa"/>
              <w:bottom w:w="0" w:type="dxa"/>
              <w:right w:w="0" w:type="dxa"/>
            </w:tcMar>
            <w:vAlign w:val="bottom"/>
          </w:tcPr>
          <w:p w14:paraId="22057B2F" w14:textId="77777777" w:rsidR="0008228C" w:rsidRDefault="0008228C"/>
        </w:tc>
        <w:tc>
          <w:tcPr>
            <w:tcW w:w="2160" w:type="dxa"/>
            <w:tcBorders>
              <w:top w:val="double" w:sz="8" w:space="0" w:color="000000"/>
              <w:left w:val="nil"/>
              <w:bottom w:val="nil"/>
              <w:right w:val="nil"/>
            </w:tcBorders>
            <w:tcMar>
              <w:top w:w="0" w:type="dxa"/>
              <w:left w:w="0" w:type="dxa"/>
              <w:bottom w:w="0" w:type="dxa"/>
              <w:right w:w="15" w:type="dxa"/>
            </w:tcMar>
            <w:vAlign w:val="bottom"/>
          </w:tcPr>
          <w:p w14:paraId="47538D18" w14:textId="77777777" w:rsidR="0008228C" w:rsidRDefault="0008228C">
            <w:pPr>
              <w:spacing w:after="30" w:line="300" w:lineRule="auto"/>
              <w:jc w:val="right"/>
            </w:pPr>
          </w:p>
        </w:tc>
        <w:tc>
          <w:tcPr>
            <w:tcW w:w="60" w:type="dxa"/>
            <w:tcBorders>
              <w:top w:val="nil"/>
              <w:left w:val="nil"/>
              <w:bottom w:val="nil"/>
              <w:right w:val="nil"/>
            </w:tcBorders>
            <w:tcMar>
              <w:top w:w="0" w:type="dxa"/>
              <w:left w:w="0" w:type="dxa"/>
              <w:bottom w:w="0" w:type="dxa"/>
              <w:right w:w="15" w:type="dxa"/>
            </w:tcMar>
            <w:vAlign w:val="bottom"/>
          </w:tcPr>
          <w:p w14:paraId="6B58B572" w14:textId="77777777" w:rsidR="0008228C" w:rsidRDefault="0008228C">
            <w:pPr>
              <w:spacing w:after="30" w:line="300" w:lineRule="auto"/>
              <w:jc w:val="right"/>
            </w:pPr>
          </w:p>
        </w:tc>
        <w:tc>
          <w:tcPr>
            <w:tcW w:w="2160" w:type="dxa"/>
            <w:tcBorders>
              <w:top w:val="double" w:sz="8" w:space="0" w:color="000000"/>
              <w:left w:val="nil"/>
              <w:bottom w:val="nil"/>
              <w:right w:val="nil"/>
            </w:tcBorders>
            <w:tcMar>
              <w:top w:w="0" w:type="dxa"/>
              <w:left w:w="0" w:type="dxa"/>
              <w:bottom w:w="0" w:type="dxa"/>
              <w:right w:w="15" w:type="dxa"/>
            </w:tcMar>
            <w:vAlign w:val="bottom"/>
          </w:tcPr>
          <w:p w14:paraId="4535CD8D" w14:textId="77777777" w:rsidR="0008228C" w:rsidRDefault="0008228C">
            <w:pPr>
              <w:spacing w:after="30" w:line="300" w:lineRule="auto"/>
              <w:jc w:val="right"/>
            </w:pPr>
          </w:p>
        </w:tc>
        <w:tc>
          <w:tcPr>
            <w:tcW w:w="60" w:type="dxa"/>
            <w:tcBorders>
              <w:top w:val="nil"/>
              <w:left w:val="nil"/>
              <w:bottom w:val="nil"/>
              <w:right w:val="nil"/>
            </w:tcBorders>
            <w:tcMar>
              <w:top w:w="0" w:type="dxa"/>
              <w:left w:w="0" w:type="dxa"/>
              <w:bottom w:w="0" w:type="dxa"/>
              <w:right w:w="0" w:type="dxa"/>
            </w:tcMar>
            <w:vAlign w:val="bottom"/>
          </w:tcPr>
          <w:p w14:paraId="3C1B6CDE" w14:textId="77777777" w:rsidR="0008228C" w:rsidRDefault="0008228C"/>
        </w:tc>
        <w:tc>
          <w:tcPr>
            <w:tcW w:w="2160" w:type="dxa"/>
            <w:tcBorders>
              <w:top w:val="double" w:sz="8" w:space="0" w:color="000000"/>
              <w:left w:val="nil"/>
              <w:bottom w:val="nil"/>
              <w:right w:val="nil"/>
            </w:tcBorders>
            <w:tcMar>
              <w:top w:w="0" w:type="dxa"/>
              <w:left w:w="0" w:type="dxa"/>
              <w:bottom w:w="0" w:type="dxa"/>
              <w:right w:w="15" w:type="dxa"/>
            </w:tcMar>
            <w:vAlign w:val="bottom"/>
          </w:tcPr>
          <w:p w14:paraId="032C67E7" w14:textId="77777777" w:rsidR="0008228C" w:rsidRDefault="0008228C">
            <w:pPr>
              <w:spacing w:after="30" w:line="300" w:lineRule="auto"/>
              <w:jc w:val="right"/>
            </w:pPr>
          </w:p>
        </w:tc>
      </w:tr>
      <w:tr w:rsidR="0008228C" w14:paraId="41788E45"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21F4EC74" w14:textId="77777777" w:rsidR="0008228C" w:rsidRDefault="00193375">
            <w:pPr>
              <w:spacing w:before="53" w:after="30" w:line="300" w:lineRule="auto"/>
            </w:pPr>
            <w:r>
              <w:rPr>
                <w:color w:val="000000"/>
                <w:sz w:val="16"/>
              </w:rPr>
              <w:t>Total assets</w:t>
            </w:r>
          </w:p>
        </w:tc>
        <w:tc>
          <w:tcPr>
            <w:tcW w:w="60" w:type="dxa"/>
            <w:tcBorders>
              <w:top w:val="nil"/>
              <w:left w:val="nil"/>
              <w:bottom w:val="nil"/>
              <w:right w:val="nil"/>
            </w:tcBorders>
            <w:tcMar>
              <w:top w:w="0" w:type="dxa"/>
              <w:left w:w="0" w:type="dxa"/>
              <w:bottom w:w="0" w:type="dxa"/>
              <w:right w:w="0" w:type="dxa"/>
            </w:tcMar>
            <w:vAlign w:val="bottom"/>
          </w:tcPr>
          <w:p w14:paraId="4C1FD357"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7BFB8918" w14:textId="77777777" w:rsidR="0008228C" w:rsidRDefault="00193375">
            <w:pPr>
              <w:tabs>
                <w:tab w:val="left" w:pos="1267"/>
                <w:tab w:val="left" w:pos="2092"/>
              </w:tabs>
              <w:spacing w:before="53" w:after="30" w:line="300" w:lineRule="auto"/>
              <w:jc w:val="right"/>
            </w:pPr>
            <w:r>
              <w:rPr>
                <w:color w:val="000000"/>
                <w:sz w:val="16"/>
              </w:rPr>
              <w:t>$</w:t>
            </w:r>
            <w:r>
              <w:rPr>
                <w:color w:val="000000"/>
                <w:sz w:val="16"/>
              </w:rPr>
              <w:tab/>
              <w:t>2,297,856</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7BC74B69"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27A4F85A" w14:textId="77777777" w:rsidR="0008228C" w:rsidRDefault="00193375">
            <w:pPr>
              <w:tabs>
                <w:tab w:val="left" w:pos="1267"/>
                <w:tab w:val="left" w:pos="2092"/>
              </w:tabs>
              <w:spacing w:before="53" w:after="30" w:line="300" w:lineRule="auto"/>
              <w:jc w:val="right"/>
            </w:pPr>
            <w:r>
              <w:rPr>
                <w:color w:val="000000"/>
                <w:sz w:val="16"/>
              </w:rPr>
              <w:t>$</w:t>
            </w:r>
            <w:r>
              <w:rPr>
                <w:color w:val="000000"/>
                <w:sz w:val="16"/>
              </w:rPr>
              <w:tab/>
              <w:t>2,259,866</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7ED85C40"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4D57EEFF" w14:textId="77777777" w:rsidR="0008228C" w:rsidRDefault="00193375">
            <w:pPr>
              <w:tabs>
                <w:tab w:val="left" w:pos="1267"/>
                <w:tab w:val="left" w:pos="2092"/>
              </w:tabs>
              <w:spacing w:before="53" w:after="30" w:line="300" w:lineRule="auto"/>
              <w:jc w:val="right"/>
            </w:pPr>
            <w:r>
              <w:rPr>
                <w:color w:val="000000"/>
                <w:sz w:val="16"/>
              </w:rPr>
              <w:t>$</w:t>
            </w:r>
            <w:r>
              <w:rPr>
                <w:color w:val="000000"/>
                <w:sz w:val="16"/>
              </w:rPr>
              <w:tab/>
              <w:t>1,673,169</w:t>
            </w:r>
            <w:r>
              <w:rPr>
                <w:color w:val="000000"/>
                <w:sz w:val="16"/>
              </w:rPr>
              <w:tab/>
            </w:r>
          </w:p>
        </w:tc>
      </w:tr>
      <w:tr w:rsidR="0008228C" w14:paraId="3875A220"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48F6BA8B" w14:textId="77777777" w:rsidR="0008228C" w:rsidRDefault="00193375">
            <w:pPr>
              <w:spacing w:before="53" w:after="30" w:line="300" w:lineRule="auto"/>
            </w:pPr>
            <w:r>
              <w:rPr>
                <w:color w:val="000000"/>
                <w:sz w:val="16"/>
              </w:rPr>
              <w:t>Less: Intangible assets</w:t>
            </w:r>
          </w:p>
        </w:tc>
        <w:tc>
          <w:tcPr>
            <w:tcW w:w="60" w:type="dxa"/>
            <w:tcBorders>
              <w:top w:val="nil"/>
              <w:left w:val="nil"/>
              <w:bottom w:val="nil"/>
              <w:right w:val="nil"/>
            </w:tcBorders>
            <w:tcMar>
              <w:top w:w="0" w:type="dxa"/>
              <w:left w:w="0" w:type="dxa"/>
              <w:bottom w:w="0" w:type="dxa"/>
              <w:right w:w="0" w:type="dxa"/>
            </w:tcMar>
            <w:vAlign w:val="bottom"/>
          </w:tcPr>
          <w:p w14:paraId="3C5F394B" w14:textId="77777777" w:rsidR="0008228C" w:rsidRDefault="0008228C"/>
        </w:tc>
        <w:tc>
          <w:tcPr>
            <w:tcW w:w="2160" w:type="dxa"/>
            <w:tcBorders>
              <w:top w:val="nil"/>
              <w:left w:val="nil"/>
              <w:bottom w:val="single" w:sz="8" w:space="0" w:color="000000"/>
              <w:right w:val="nil"/>
            </w:tcBorders>
            <w:tcMar>
              <w:top w:w="0" w:type="dxa"/>
              <w:left w:w="0" w:type="dxa"/>
              <w:bottom w:w="0" w:type="dxa"/>
              <w:right w:w="15" w:type="dxa"/>
            </w:tcMar>
            <w:vAlign w:val="bottom"/>
          </w:tcPr>
          <w:p w14:paraId="2C25C112" w14:textId="77777777" w:rsidR="0008228C" w:rsidRDefault="00193375">
            <w:pPr>
              <w:tabs>
                <w:tab w:val="left" w:pos="1467"/>
                <w:tab w:val="left" w:pos="2092"/>
              </w:tabs>
              <w:spacing w:before="53" w:after="30" w:line="300" w:lineRule="auto"/>
              <w:jc w:val="right"/>
            </w:pPr>
            <w:r>
              <w:rPr>
                <w:color w:val="000000"/>
                <w:sz w:val="16"/>
              </w:rPr>
              <w:tab/>
              <w:t>38,707</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3F6CACAD" w14:textId="77777777" w:rsidR="0008228C" w:rsidRDefault="0008228C">
            <w:pPr>
              <w:spacing w:before="53" w:after="30" w:line="300" w:lineRule="auto"/>
              <w:jc w:val="right"/>
            </w:pPr>
          </w:p>
        </w:tc>
        <w:tc>
          <w:tcPr>
            <w:tcW w:w="2160" w:type="dxa"/>
            <w:tcBorders>
              <w:top w:val="nil"/>
              <w:left w:val="nil"/>
              <w:bottom w:val="single" w:sz="8" w:space="0" w:color="000000"/>
              <w:right w:val="nil"/>
            </w:tcBorders>
            <w:tcMar>
              <w:top w:w="0" w:type="dxa"/>
              <w:left w:w="0" w:type="dxa"/>
              <w:bottom w:w="0" w:type="dxa"/>
              <w:right w:w="15" w:type="dxa"/>
            </w:tcMar>
            <w:vAlign w:val="bottom"/>
          </w:tcPr>
          <w:p w14:paraId="47293A38" w14:textId="77777777" w:rsidR="0008228C" w:rsidRDefault="00193375">
            <w:pPr>
              <w:tabs>
                <w:tab w:val="left" w:pos="1467"/>
                <w:tab w:val="left" w:pos="2092"/>
              </w:tabs>
              <w:spacing w:before="53" w:after="30" w:line="300" w:lineRule="auto"/>
              <w:jc w:val="right"/>
            </w:pPr>
            <w:r>
              <w:rPr>
                <w:color w:val="000000"/>
                <w:sz w:val="16"/>
              </w:rPr>
              <w:tab/>
              <w:t>38,806</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13AB5A3A" w14:textId="77777777" w:rsidR="0008228C" w:rsidRDefault="0008228C"/>
        </w:tc>
        <w:tc>
          <w:tcPr>
            <w:tcW w:w="2160" w:type="dxa"/>
            <w:tcBorders>
              <w:top w:val="nil"/>
              <w:left w:val="nil"/>
              <w:bottom w:val="single" w:sz="8" w:space="0" w:color="000000"/>
              <w:right w:val="nil"/>
            </w:tcBorders>
            <w:tcMar>
              <w:top w:w="0" w:type="dxa"/>
              <w:left w:w="0" w:type="dxa"/>
              <w:bottom w:w="0" w:type="dxa"/>
              <w:right w:w="15" w:type="dxa"/>
            </w:tcMar>
            <w:vAlign w:val="bottom"/>
          </w:tcPr>
          <w:p w14:paraId="2FB11B6B" w14:textId="77777777" w:rsidR="0008228C" w:rsidRDefault="00193375">
            <w:pPr>
              <w:tabs>
                <w:tab w:val="left" w:pos="1467"/>
                <w:tab w:val="left" w:pos="2092"/>
              </w:tabs>
              <w:spacing w:before="53" w:after="30" w:line="300" w:lineRule="auto"/>
              <w:jc w:val="right"/>
            </w:pPr>
            <w:r>
              <w:rPr>
                <w:color w:val="000000"/>
                <w:sz w:val="16"/>
              </w:rPr>
              <w:tab/>
              <w:t>21,511</w:t>
            </w:r>
            <w:r>
              <w:rPr>
                <w:color w:val="000000"/>
                <w:sz w:val="16"/>
              </w:rPr>
              <w:tab/>
            </w:r>
          </w:p>
        </w:tc>
      </w:tr>
      <w:tr w:rsidR="0008228C" w14:paraId="44CC61F0"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13D97FB1" w14:textId="77777777" w:rsidR="0008228C" w:rsidRDefault="00193375">
            <w:pPr>
              <w:spacing w:before="33" w:after="30" w:line="300" w:lineRule="auto"/>
            </w:pPr>
            <w:r>
              <w:rPr>
                <w:color w:val="000000"/>
                <w:sz w:val="16"/>
              </w:rPr>
              <w:t xml:space="preserve">Tangible assets </w:t>
            </w:r>
            <w:r w:rsidRPr="00307428">
              <w:rPr>
                <w:color w:val="00000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1A046984" w14:textId="77777777" w:rsidR="0008228C" w:rsidRDefault="0008228C"/>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3650B9FB" w14:textId="77777777" w:rsidR="0008228C" w:rsidRDefault="00193375">
            <w:pPr>
              <w:tabs>
                <w:tab w:val="left" w:pos="1267"/>
                <w:tab w:val="left" w:pos="2092"/>
              </w:tabs>
              <w:spacing w:before="33" w:after="30" w:line="300" w:lineRule="auto"/>
              <w:jc w:val="right"/>
            </w:pPr>
            <w:r>
              <w:rPr>
                <w:color w:val="000000"/>
                <w:sz w:val="16"/>
              </w:rPr>
              <w:t>$</w:t>
            </w:r>
            <w:r>
              <w:rPr>
                <w:color w:val="000000"/>
                <w:sz w:val="16"/>
              </w:rPr>
              <w:tab/>
              <w:t>2,259,149</w:t>
            </w:r>
            <w:r>
              <w:rPr>
                <w:color w:val="000000"/>
                <w:sz w:val="16"/>
              </w:rPr>
              <w:tab/>
            </w:r>
          </w:p>
        </w:tc>
        <w:tc>
          <w:tcPr>
            <w:tcW w:w="60" w:type="dxa"/>
            <w:tcBorders>
              <w:top w:val="nil"/>
              <w:left w:val="nil"/>
              <w:bottom w:val="nil"/>
              <w:right w:val="nil"/>
            </w:tcBorders>
            <w:tcMar>
              <w:top w:w="0" w:type="dxa"/>
              <w:left w:w="0" w:type="dxa"/>
              <w:bottom w:w="0" w:type="dxa"/>
              <w:right w:w="15" w:type="dxa"/>
            </w:tcMar>
            <w:vAlign w:val="bottom"/>
          </w:tcPr>
          <w:p w14:paraId="51FBA188" w14:textId="77777777" w:rsidR="0008228C" w:rsidRDefault="0008228C">
            <w:pPr>
              <w:spacing w:before="33" w:after="30" w:line="300" w:lineRule="auto"/>
              <w:jc w:val="right"/>
            </w:pPr>
          </w:p>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3D70C5F5" w14:textId="77777777" w:rsidR="0008228C" w:rsidRDefault="00193375">
            <w:pPr>
              <w:tabs>
                <w:tab w:val="left" w:pos="1267"/>
                <w:tab w:val="left" w:pos="2092"/>
              </w:tabs>
              <w:spacing w:before="33" w:after="30" w:line="300" w:lineRule="auto"/>
              <w:jc w:val="right"/>
            </w:pPr>
            <w:r>
              <w:rPr>
                <w:color w:val="000000"/>
                <w:sz w:val="16"/>
              </w:rPr>
              <w:t>$</w:t>
            </w:r>
            <w:r>
              <w:rPr>
                <w:color w:val="000000"/>
                <w:sz w:val="16"/>
              </w:rPr>
              <w:tab/>
              <w:t>2,221,060</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2A6722E5" w14:textId="77777777" w:rsidR="0008228C" w:rsidRDefault="0008228C"/>
        </w:tc>
        <w:tc>
          <w:tcPr>
            <w:tcW w:w="2160" w:type="dxa"/>
            <w:tcBorders>
              <w:top w:val="single" w:sz="8" w:space="0" w:color="000000"/>
              <w:left w:val="nil"/>
              <w:bottom w:val="double" w:sz="8" w:space="0" w:color="000000"/>
              <w:right w:val="nil"/>
            </w:tcBorders>
            <w:tcMar>
              <w:top w:w="0" w:type="dxa"/>
              <w:left w:w="0" w:type="dxa"/>
              <w:bottom w:w="0" w:type="dxa"/>
              <w:right w:w="15" w:type="dxa"/>
            </w:tcMar>
            <w:vAlign w:val="bottom"/>
          </w:tcPr>
          <w:p w14:paraId="51B26B54" w14:textId="77777777" w:rsidR="0008228C" w:rsidRDefault="00193375">
            <w:pPr>
              <w:tabs>
                <w:tab w:val="left" w:pos="1267"/>
                <w:tab w:val="left" w:pos="2092"/>
              </w:tabs>
              <w:spacing w:before="33" w:after="30" w:line="300" w:lineRule="auto"/>
              <w:jc w:val="right"/>
            </w:pPr>
            <w:r>
              <w:rPr>
                <w:color w:val="000000"/>
                <w:sz w:val="16"/>
              </w:rPr>
              <w:t>$</w:t>
            </w:r>
            <w:r>
              <w:rPr>
                <w:color w:val="000000"/>
                <w:sz w:val="16"/>
              </w:rPr>
              <w:tab/>
              <w:t>1,651,658</w:t>
            </w:r>
            <w:r>
              <w:rPr>
                <w:color w:val="000000"/>
                <w:sz w:val="16"/>
              </w:rPr>
              <w:tab/>
            </w:r>
          </w:p>
        </w:tc>
      </w:tr>
      <w:tr w:rsidR="0008228C" w14:paraId="4DC76C96" w14:textId="77777777">
        <w:trPr>
          <w:cantSplit/>
          <w:trHeight w:hRule="exact" w:val="255"/>
        </w:trPr>
        <w:tc>
          <w:tcPr>
            <w:tcW w:w="4140" w:type="dxa"/>
            <w:tcBorders>
              <w:top w:val="nil"/>
              <w:left w:val="nil"/>
              <w:bottom w:val="nil"/>
              <w:right w:val="nil"/>
            </w:tcBorders>
            <w:tcMar>
              <w:top w:w="0" w:type="dxa"/>
              <w:left w:w="0" w:type="dxa"/>
              <w:bottom w:w="0" w:type="dxa"/>
              <w:right w:w="0" w:type="dxa"/>
            </w:tcMar>
            <w:vAlign w:val="bottom"/>
          </w:tcPr>
          <w:p w14:paraId="6FD607A8"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0F09F36" w14:textId="77777777" w:rsidR="0008228C" w:rsidRDefault="0008228C"/>
        </w:tc>
        <w:tc>
          <w:tcPr>
            <w:tcW w:w="2160" w:type="dxa"/>
            <w:tcBorders>
              <w:top w:val="double" w:sz="8" w:space="0" w:color="000000"/>
              <w:left w:val="nil"/>
              <w:bottom w:val="nil"/>
              <w:right w:val="nil"/>
            </w:tcBorders>
            <w:tcMar>
              <w:top w:w="0" w:type="dxa"/>
              <w:left w:w="0" w:type="dxa"/>
              <w:bottom w:w="0" w:type="dxa"/>
              <w:right w:w="0" w:type="dxa"/>
            </w:tcMar>
            <w:vAlign w:val="bottom"/>
          </w:tcPr>
          <w:p w14:paraId="2A1892BD"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0BC23861" w14:textId="77777777" w:rsidR="0008228C" w:rsidRDefault="0008228C"/>
        </w:tc>
        <w:tc>
          <w:tcPr>
            <w:tcW w:w="2160" w:type="dxa"/>
            <w:tcBorders>
              <w:top w:val="double" w:sz="8" w:space="0" w:color="000000"/>
              <w:left w:val="nil"/>
              <w:bottom w:val="nil"/>
              <w:right w:val="nil"/>
            </w:tcBorders>
            <w:tcMar>
              <w:top w:w="0" w:type="dxa"/>
              <w:left w:w="0" w:type="dxa"/>
              <w:bottom w:w="0" w:type="dxa"/>
              <w:right w:w="0" w:type="dxa"/>
            </w:tcMar>
            <w:vAlign w:val="bottom"/>
          </w:tcPr>
          <w:p w14:paraId="34F98671" w14:textId="77777777" w:rsidR="0008228C" w:rsidRDefault="0008228C"/>
        </w:tc>
        <w:tc>
          <w:tcPr>
            <w:tcW w:w="60" w:type="dxa"/>
            <w:tcBorders>
              <w:top w:val="nil"/>
              <w:left w:val="nil"/>
              <w:bottom w:val="nil"/>
              <w:right w:val="nil"/>
            </w:tcBorders>
            <w:tcMar>
              <w:top w:w="0" w:type="dxa"/>
              <w:left w:w="0" w:type="dxa"/>
              <w:bottom w:w="0" w:type="dxa"/>
              <w:right w:w="0" w:type="dxa"/>
            </w:tcMar>
            <w:vAlign w:val="bottom"/>
          </w:tcPr>
          <w:p w14:paraId="63A76AC9" w14:textId="77777777" w:rsidR="0008228C" w:rsidRDefault="0008228C"/>
        </w:tc>
        <w:tc>
          <w:tcPr>
            <w:tcW w:w="2160" w:type="dxa"/>
            <w:tcBorders>
              <w:top w:val="double" w:sz="8" w:space="0" w:color="000000"/>
              <w:left w:val="nil"/>
              <w:bottom w:val="nil"/>
              <w:right w:val="nil"/>
            </w:tcBorders>
            <w:tcMar>
              <w:top w:w="0" w:type="dxa"/>
              <w:left w:w="0" w:type="dxa"/>
              <w:bottom w:w="0" w:type="dxa"/>
              <w:right w:w="0" w:type="dxa"/>
            </w:tcMar>
            <w:vAlign w:val="bottom"/>
          </w:tcPr>
          <w:p w14:paraId="28B89F63" w14:textId="77777777" w:rsidR="0008228C" w:rsidRDefault="0008228C"/>
        </w:tc>
      </w:tr>
      <w:tr w:rsidR="0008228C" w14:paraId="27A3CC93"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769D853D" w14:textId="77777777" w:rsidR="0008228C" w:rsidRDefault="00193375">
            <w:pPr>
              <w:spacing w:before="53" w:after="30" w:line="300" w:lineRule="auto"/>
            </w:pPr>
            <w:r>
              <w:rPr>
                <w:color w:val="000000"/>
                <w:sz w:val="16"/>
              </w:rPr>
              <w:t>Equity to asset ratio</w:t>
            </w:r>
          </w:p>
        </w:tc>
        <w:tc>
          <w:tcPr>
            <w:tcW w:w="60" w:type="dxa"/>
            <w:tcBorders>
              <w:top w:val="nil"/>
              <w:left w:val="nil"/>
              <w:bottom w:val="nil"/>
              <w:right w:val="nil"/>
            </w:tcBorders>
            <w:tcMar>
              <w:top w:w="0" w:type="dxa"/>
              <w:left w:w="0" w:type="dxa"/>
              <w:bottom w:w="0" w:type="dxa"/>
              <w:right w:w="0" w:type="dxa"/>
            </w:tcMar>
            <w:vAlign w:val="bottom"/>
          </w:tcPr>
          <w:p w14:paraId="140D71B2"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62CF68F1" w14:textId="77777777" w:rsidR="0008228C" w:rsidRDefault="00193375">
            <w:pPr>
              <w:tabs>
                <w:tab w:val="left" w:pos="1"/>
                <w:tab w:val="left" w:pos="416"/>
              </w:tabs>
              <w:spacing w:before="53" w:after="30" w:line="300" w:lineRule="auto"/>
              <w:jc w:val="right"/>
            </w:pPr>
            <w:r>
              <w:rPr>
                <w:color w:val="000000"/>
                <w:sz w:val="16"/>
              </w:rPr>
              <w:tab/>
              <w:t>10.74</w:t>
            </w:r>
            <w:r>
              <w:rPr>
                <w:color w:val="000000"/>
                <w:sz w:val="16"/>
              </w:rPr>
              <w:tab/>
              <w:t>%</w:t>
            </w:r>
          </w:p>
        </w:tc>
        <w:tc>
          <w:tcPr>
            <w:tcW w:w="60" w:type="dxa"/>
            <w:tcBorders>
              <w:top w:val="nil"/>
              <w:left w:val="nil"/>
              <w:bottom w:val="nil"/>
              <w:right w:val="nil"/>
            </w:tcBorders>
            <w:tcMar>
              <w:top w:w="0" w:type="dxa"/>
              <w:left w:w="0" w:type="dxa"/>
              <w:bottom w:w="0" w:type="dxa"/>
              <w:right w:w="15" w:type="dxa"/>
            </w:tcMar>
            <w:vAlign w:val="bottom"/>
          </w:tcPr>
          <w:p w14:paraId="49F9D6FE"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10B9A844" w14:textId="77777777" w:rsidR="0008228C" w:rsidRDefault="00193375">
            <w:pPr>
              <w:tabs>
                <w:tab w:val="left" w:pos="1"/>
                <w:tab w:val="left" w:pos="416"/>
              </w:tabs>
              <w:spacing w:before="53" w:after="30" w:line="300" w:lineRule="auto"/>
              <w:jc w:val="right"/>
            </w:pPr>
            <w:r>
              <w:rPr>
                <w:color w:val="000000"/>
                <w:sz w:val="16"/>
              </w:rPr>
              <w:tab/>
              <w:t>10.91</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3D78F1F3"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63E6C86C" w14:textId="77777777" w:rsidR="0008228C" w:rsidRDefault="00193375">
            <w:pPr>
              <w:tabs>
                <w:tab w:val="left" w:pos="1"/>
                <w:tab w:val="left" w:pos="416"/>
              </w:tabs>
              <w:spacing w:before="53" w:after="30" w:line="300" w:lineRule="auto"/>
              <w:jc w:val="right"/>
            </w:pPr>
            <w:r>
              <w:rPr>
                <w:color w:val="000000"/>
                <w:sz w:val="16"/>
              </w:rPr>
              <w:tab/>
              <w:t>10.22</w:t>
            </w:r>
            <w:r>
              <w:rPr>
                <w:color w:val="000000"/>
                <w:sz w:val="16"/>
              </w:rPr>
              <w:tab/>
              <w:t>%</w:t>
            </w:r>
          </w:p>
        </w:tc>
      </w:tr>
      <w:tr w:rsidR="0008228C" w14:paraId="432D992D"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51EBE81C" w14:textId="77777777" w:rsidR="0008228C" w:rsidRDefault="00193375">
            <w:pPr>
              <w:spacing w:before="53" w:after="30" w:line="300" w:lineRule="auto"/>
            </w:pPr>
            <w:r>
              <w:rPr>
                <w:color w:val="000000"/>
                <w:sz w:val="16"/>
              </w:rPr>
              <w:t xml:space="preserve">Tangible common equity to tangible asset ratio </w:t>
            </w:r>
            <w:r w:rsidRPr="007576F9">
              <w:rPr>
                <w:color w:val="00000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623469AA"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0FC68364" w14:textId="77777777" w:rsidR="0008228C" w:rsidRDefault="00193375">
            <w:pPr>
              <w:tabs>
                <w:tab w:val="left" w:pos="1"/>
                <w:tab w:val="left" w:pos="336"/>
              </w:tabs>
              <w:spacing w:before="53" w:after="30" w:line="300" w:lineRule="auto"/>
              <w:jc w:val="right"/>
            </w:pPr>
            <w:r>
              <w:rPr>
                <w:color w:val="000000"/>
                <w:sz w:val="16"/>
              </w:rPr>
              <w:tab/>
              <w:t>9.21</w:t>
            </w:r>
            <w:r>
              <w:rPr>
                <w:color w:val="000000"/>
                <w:sz w:val="16"/>
              </w:rPr>
              <w:tab/>
              <w:t>%</w:t>
            </w:r>
          </w:p>
        </w:tc>
        <w:tc>
          <w:tcPr>
            <w:tcW w:w="60" w:type="dxa"/>
            <w:tcBorders>
              <w:top w:val="nil"/>
              <w:left w:val="nil"/>
              <w:bottom w:val="nil"/>
              <w:right w:val="nil"/>
            </w:tcBorders>
            <w:tcMar>
              <w:top w:w="0" w:type="dxa"/>
              <w:left w:w="0" w:type="dxa"/>
              <w:bottom w:w="0" w:type="dxa"/>
              <w:right w:w="15" w:type="dxa"/>
            </w:tcMar>
            <w:vAlign w:val="bottom"/>
          </w:tcPr>
          <w:p w14:paraId="4DAB44A1"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3E74C242" w14:textId="77777777" w:rsidR="0008228C" w:rsidRDefault="00193375">
            <w:pPr>
              <w:tabs>
                <w:tab w:val="left" w:pos="1"/>
                <w:tab w:val="left" w:pos="336"/>
              </w:tabs>
              <w:spacing w:before="53" w:after="30" w:line="300" w:lineRule="auto"/>
              <w:jc w:val="right"/>
            </w:pPr>
            <w:r>
              <w:rPr>
                <w:color w:val="000000"/>
                <w:sz w:val="16"/>
              </w:rPr>
              <w:tab/>
              <w:t>9.35</w:t>
            </w:r>
            <w:r>
              <w:rPr>
                <w:color w:val="000000"/>
                <w:sz w:val="16"/>
              </w:rPr>
              <w:tab/>
              <w:t>%</w:t>
            </w:r>
          </w:p>
        </w:tc>
        <w:tc>
          <w:tcPr>
            <w:tcW w:w="60" w:type="dxa"/>
            <w:tcBorders>
              <w:top w:val="nil"/>
              <w:left w:val="nil"/>
              <w:bottom w:val="nil"/>
              <w:right w:val="nil"/>
            </w:tcBorders>
            <w:tcMar>
              <w:top w:w="0" w:type="dxa"/>
              <w:left w:w="0" w:type="dxa"/>
              <w:bottom w:w="0" w:type="dxa"/>
              <w:right w:w="0" w:type="dxa"/>
            </w:tcMar>
            <w:vAlign w:val="bottom"/>
          </w:tcPr>
          <w:p w14:paraId="204D3BCA"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4DFB77BE" w14:textId="77777777" w:rsidR="0008228C" w:rsidRDefault="00193375">
            <w:pPr>
              <w:tabs>
                <w:tab w:val="left" w:pos="1"/>
                <w:tab w:val="left" w:pos="336"/>
              </w:tabs>
              <w:spacing w:before="53" w:after="30" w:line="300" w:lineRule="auto"/>
              <w:jc w:val="right"/>
            </w:pPr>
            <w:r>
              <w:rPr>
                <w:color w:val="000000"/>
                <w:sz w:val="16"/>
              </w:rPr>
              <w:tab/>
              <w:t>9.05</w:t>
            </w:r>
            <w:r>
              <w:rPr>
                <w:color w:val="000000"/>
                <w:sz w:val="16"/>
              </w:rPr>
              <w:tab/>
              <w:t>%</w:t>
            </w:r>
          </w:p>
        </w:tc>
      </w:tr>
      <w:tr w:rsidR="0008228C" w14:paraId="179CA04B"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475A356E" w14:textId="77777777" w:rsidR="0008228C" w:rsidRDefault="00193375">
            <w:pPr>
              <w:spacing w:before="53" w:after="30" w:line="300" w:lineRule="auto"/>
            </w:pPr>
            <w:r>
              <w:rPr>
                <w:color w:val="000000"/>
                <w:sz w:val="16"/>
              </w:rPr>
              <w:t>Book value per share</w:t>
            </w:r>
          </w:p>
        </w:tc>
        <w:tc>
          <w:tcPr>
            <w:tcW w:w="60" w:type="dxa"/>
            <w:tcBorders>
              <w:top w:val="nil"/>
              <w:left w:val="nil"/>
              <w:bottom w:val="nil"/>
              <w:right w:val="nil"/>
            </w:tcBorders>
            <w:tcMar>
              <w:top w:w="0" w:type="dxa"/>
              <w:left w:w="0" w:type="dxa"/>
              <w:bottom w:w="0" w:type="dxa"/>
              <w:right w:w="0" w:type="dxa"/>
            </w:tcMar>
            <w:vAlign w:val="bottom"/>
          </w:tcPr>
          <w:p w14:paraId="6AC08DE2"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780FF788" w14:textId="77777777" w:rsidR="0008228C" w:rsidRDefault="00193375">
            <w:pPr>
              <w:tabs>
                <w:tab w:val="left" w:pos="1547"/>
                <w:tab w:val="left" w:pos="2092"/>
              </w:tabs>
              <w:spacing w:before="53" w:after="30" w:line="300" w:lineRule="auto"/>
              <w:jc w:val="right"/>
            </w:pPr>
            <w:r>
              <w:rPr>
                <w:color w:val="000000"/>
                <w:sz w:val="16"/>
              </w:rPr>
              <w:t>$</w:t>
            </w:r>
            <w:r>
              <w:rPr>
                <w:color w:val="000000"/>
                <w:sz w:val="16"/>
              </w:rPr>
              <w:tab/>
              <w:t>13.90</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179813D8"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403E0DA0" w14:textId="77777777" w:rsidR="0008228C" w:rsidRDefault="00193375">
            <w:pPr>
              <w:tabs>
                <w:tab w:val="left" w:pos="1547"/>
                <w:tab w:val="left" w:pos="2092"/>
              </w:tabs>
              <w:spacing w:before="53" w:after="30" w:line="300" w:lineRule="auto"/>
              <w:jc w:val="right"/>
            </w:pPr>
            <w:r>
              <w:rPr>
                <w:color w:val="000000"/>
                <w:sz w:val="16"/>
              </w:rPr>
              <w:t>$</w:t>
            </w:r>
            <w:r>
              <w:rPr>
                <w:color w:val="000000"/>
                <w:sz w:val="16"/>
              </w:rPr>
              <w:tab/>
              <w:t>13.92</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279D89E5"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61BFD6B4" w14:textId="77777777" w:rsidR="0008228C" w:rsidRDefault="00193375">
            <w:pPr>
              <w:tabs>
                <w:tab w:val="left" w:pos="1547"/>
                <w:tab w:val="left" w:pos="2092"/>
              </w:tabs>
              <w:spacing w:before="53" w:after="30" w:line="300" w:lineRule="auto"/>
              <w:jc w:val="right"/>
            </w:pPr>
            <w:r>
              <w:rPr>
                <w:color w:val="000000"/>
                <w:sz w:val="16"/>
              </w:rPr>
              <w:t>$</w:t>
            </w:r>
            <w:r>
              <w:rPr>
                <w:color w:val="000000"/>
                <w:sz w:val="16"/>
              </w:rPr>
              <w:tab/>
              <w:t>12.88</w:t>
            </w:r>
            <w:r>
              <w:rPr>
                <w:color w:val="000000"/>
                <w:sz w:val="16"/>
              </w:rPr>
              <w:tab/>
            </w:r>
          </w:p>
        </w:tc>
      </w:tr>
      <w:tr w:rsidR="0008228C" w14:paraId="364BD5B5"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6EBE1C1C" w14:textId="77777777" w:rsidR="0008228C" w:rsidRDefault="00193375">
            <w:pPr>
              <w:spacing w:before="53" w:after="30" w:line="300" w:lineRule="auto"/>
            </w:pPr>
            <w:r>
              <w:rPr>
                <w:color w:val="000000"/>
                <w:sz w:val="16"/>
              </w:rPr>
              <w:t xml:space="preserve">Tangible book value per share </w:t>
            </w:r>
            <w:r w:rsidRPr="007576F9">
              <w:rPr>
                <w:color w:val="000000"/>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0E49473A"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2C3E22A9" w14:textId="77777777" w:rsidR="0008228C" w:rsidRDefault="00193375">
            <w:pPr>
              <w:tabs>
                <w:tab w:val="left" w:pos="1547"/>
                <w:tab w:val="left" w:pos="2092"/>
              </w:tabs>
              <w:spacing w:before="53" w:after="30" w:line="300" w:lineRule="auto"/>
              <w:jc w:val="right"/>
            </w:pPr>
            <w:r>
              <w:rPr>
                <w:color w:val="000000"/>
                <w:sz w:val="16"/>
              </w:rPr>
              <w:t>$</w:t>
            </w:r>
            <w:r>
              <w:rPr>
                <w:color w:val="000000"/>
                <w:sz w:val="16"/>
              </w:rPr>
              <w:tab/>
              <w:t>11.72</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66C475C6"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19E7189B" w14:textId="77777777" w:rsidR="0008228C" w:rsidRDefault="00193375">
            <w:pPr>
              <w:tabs>
                <w:tab w:val="left" w:pos="1547"/>
                <w:tab w:val="left" w:pos="2092"/>
              </w:tabs>
              <w:spacing w:before="53" w:after="30" w:line="300" w:lineRule="auto"/>
              <w:jc w:val="right"/>
            </w:pPr>
            <w:r>
              <w:rPr>
                <w:color w:val="000000"/>
                <w:sz w:val="16"/>
              </w:rPr>
              <w:t>$</w:t>
            </w:r>
            <w:r>
              <w:rPr>
                <w:color w:val="000000"/>
                <w:sz w:val="16"/>
              </w:rPr>
              <w:tab/>
              <w:t>11.73</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51A7A675"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27A9C087" w14:textId="77777777" w:rsidR="0008228C" w:rsidRDefault="00193375">
            <w:pPr>
              <w:tabs>
                <w:tab w:val="left" w:pos="1547"/>
                <w:tab w:val="left" w:pos="2092"/>
              </w:tabs>
              <w:spacing w:before="53" w:after="30" w:line="300" w:lineRule="auto"/>
              <w:jc w:val="right"/>
            </w:pPr>
            <w:r>
              <w:rPr>
                <w:color w:val="000000"/>
                <w:sz w:val="16"/>
              </w:rPr>
              <w:t>$</w:t>
            </w:r>
            <w:r>
              <w:rPr>
                <w:color w:val="000000"/>
                <w:sz w:val="16"/>
              </w:rPr>
              <w:tab/>
              <w:t>11.26</w:t>
            </w:r>
            <w:r>
              <w:rPr>
                <w:color w:val="000000"/>
                <w:sz w:val="16"/>
              </w:rPr>
              <w:tab/>
            </w:r>
          </w:p>
        </w:tc>
      </w:tr>
      <w:tr w:rsidR="0008228C" w14:paraId="5F17F88F" w14:textId="77777777">
        <w:trPr>
          <w:cantSplit/>
          <w:trHeight w:hRule="exact" w:val="240"/>
        </w:trPr>
        <w:tc>
          <w:tcPr>
            <w:tcW w:w="4140" w:type="dxa"/>
            <w:tcBorders>
              <w:top w:val="nil"/>
              <w:left w:val="nil"/>
              <w:bottom w:val="nil"/>
              <w:right w:val="nil"/>
            </w:tcBorders>
            <w:tcMar>
              <w:top w:w="0" w:type="dxa"/>
              <w:left w:w="53" w:type="dxa"/>
              <w:bottom w:w="0" w:type="dxa"/>
              <w:right w:w="53" w:type="dxa"/>
            </w:tcMar>
            <w:vAlign w:val="bottom"/>
          </w:tcPr>
          <w:p w14:paraId="1652525B" w14:textId="77777777" w:rsidR="0008228C" w:rsidRDefault="00193375">
            <w:pPr>
              <w:spacing w:before="53" w:after="30" w:line="300" w:lineRule="auto"/>
            </w:pPr>
            <w:r>
              <w:rPr>
                <w:color w:val="000000"/>
                <w:sz w:val="16"/>
              </w:rPr>
              <w:t>Shares outstanding</w:t>
            </w:r>
          </w:p>
        </w:tc>
        <w:tc>
          <w:tcPr>
            <w:tcW w:w="60" w:type="dxa"/>
            <w:tcBorders>
              <w:top w:val="nil"/>
              <w:left w:val="nil"/>
              <w:bottom w:val="nil"/>
              <w:right w:val="nil"/>
            </w:tcBorders>
            <w:tcMar>
              <w:top w:w="0" w:type="dxa"/>
              <w:left w:w="0" w:type="dxa"/>
              <w:bottom w:w="0" w:type="dxa"/>
              <w:right w:w="0" w:type="dxa"/>
            </w:tcMar>
            <w:vAlign w:val="bottom"/>
          </w:tcPr>
          <w:p w14:paraId="6F2E191D"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5686663E" w14:textId="77777777" w:rsidR="0008228C" w:rsidRDefault="00193375">
            <w:pPr>
              <w:tabs>
                <w:tab w:val="left" w:pos="1187"/>
                <w:tab w:val="left" w:pos="2092"/>
              </w:tabs>
              <w:spacing w:before="53" w:after="30" w:line="300" w:lineRule="auto"/>
              <w:jc w:val="right"/>
            </w:pPr>
            <w:r>
              <w:rPr>
                <w:color w:val="000000"/>
                <w:sz w:val="16"/>
              </w:rPr>
              <w:tab/>
              <w:t>17,753,849</w:t>
            </w:r>
            <w:r>
              <w:rPr>
                <w:color w:val="000000"/>
                <w:sz w:val="16"/>
              </w:rPr>
              <w:tab/>
            </w:r>
          </w:p>
        </w:tc>
        <w:tc>
          <w:tcPr>
            <w:tcW w:w="60" w:type="dxa"/>
            <w:tcBorders>
              <w:top w:val="nil"/>
              <w:left w:val="nil"/>
              <w:bottom w:val="nil"/>
              <w:right w:val="nil"/>
            </w:tcBorders>
            <w:tcMar>
              <w:top w:w="0" w:type="dxa"/>
              <w:left w:w="0" w:type="dxa"/>
              <w:bottom w:w="0" w:type="dxa"/>
              <w:right w:w="53" w:type="dxa"/>
            </w:tcMar>
            <w:vAlign w:val="bottom"/>
          </w:tcPr>
          <w:p w14:paraId="7D0D4A56" w14:textId="77777777" w:rsidR="0008228C" w:rsidRDefault="0008228C">
            <w:pPr>
              <w:spacing w:before="53" w:after="30" w:line="300" w:lineRule="auto"/>
              <w:jc w:val="right"/>
            </w:pPr>
          </w:p>
        </w:tc>
        <w:tc>
          <w:tcPr>
            <w:tcW w:w="2160" w:type="dxa"/>
            <w:tcBorders>
              <w:top w:val="nil"/>
              <w:left w:val="nil"/>
              <w:bottom w:val="nil"/>
              <w:right w:val="nil"/>
            </w:tcBorders>
            <w:tcMar>
              <w:top w:w="0" w:type="dxa"/>
              <w:left w:w="0" w:type="dxa"/>
              <w:bottom w:w="0" w:type="dxa"/>
              <w:right w:w="15" w:type="dxa"/>
            </w:tcMar>
            <w:vAlign w:val="bottom"/>
          </w:tcPr>
          <w:p w14:paraId="01E9C214" w14:textId="77777777" w:rsidR="0008228C" w:rsidRDefault="00193375">
            <w:pPr>
              <w:tabs>
                <w:tab w:val="left" w:pos="1187"/>
                <w:tab w:val="left" w:pos="2092"/>
              </w:tabs>
              <w:spacing w:before="53" w:after="30" w:line="300" w:lineRule="auto"/>
              <w:jc w:val="right"/>
            </w:pPr>
            <w:r>
              <w:rPr>
                <w:color w:val="000000"/>
                <w:sz w:val="16"/>
              </w:rPr>
              <w:tab/>
              <w:t>17,707,737</w:t>
            </w:r>
            <w:r>
              <w:rPr>
                <w:color w:val="000000"/>
                <w:sz w:val="16"/>
              </w:rPr>
              <w:tab/>
            </w:r>
          </w:p>
        </w:tc>
        <w:tc>
          <w:tcPr>
            <w:tcW w:w="60" w:type="dxa"/>
            <w:tcBorders>
              <w:top w:val="nil"/>
              <w:left w:val="nil"/>
              <w:bottom w:val="nil"/>
              <w:right w:val="nil"/>
            </w:tcBorders>
            <w:tcMar>
              <w:top w:w="0" w:type="dxa"/>
              <w:left w:w="0" w:type="dxa"/>
              <w:bottom w:w="0" w:type="dxa"/>
              <w:right w:w="0" w:type="dxa"/>
            </w:tcMar>
            <w:vAlign w:val="bottom"/>
          </w:tcPr>
          <w:p w14:paraId="7FC71E0D" w14:textId="77777777" w:rsidR="0008228C" w:rsidRDefault="0008228C"/>
        </w:tc>
        <w:tc>
          <w:tcPr>
            <w:tcW w:w="2160" w:type="dxa"/>
            <w:tcBorders>
              <w:top w:val="nil"/>
              <w:left w:val="nil"/>
              <w:bottom w:val="nil"/>
              <w:right w:val="nil"/>
            </w:tcBorders>
            <w:tcMar>
              <w:top w:w="0" w:type="dxa"/>
              <w:left w:w="0" w:type="dxa"/>
              <w:bottom w:w="0" w:type="dxa"/>
              <w:right w:w="15" w:type="dxa"/>
            </w:tcMar>
            <w:vAlign w:val="bottom"/>
          </w:tcPr>
          <w:p w14:paraId="14D8E00C" w14:textId="77777777" w:rsidR="0008228C" w:rsidRDefault="00193375">
            <w:pPr>
              <w:tabs>
                <w:tab w:val="left" w:pos="1187"/>
                <w:tab w:val="left" w:pos="2092"/>
              </w:tabs>
              <w:spacing w:before="53" w:after="30" w:line="300" w:lineRule="auto"/>
              <w:jc w:val="right"/>
            </w:pPr>
            <w:r>
              <w:rPr>
                <w:color w:val="000000"/>
                <w:sz w:val="16"/>
              </w:rPr>
              <w:tab/>
              <w:t>13,278,005</w:t>
            </w:r>
            <w:r>
              <w:rPr>
                <w:color w:val="000000"/>
                <w:sz w:val="16"/>
              </w:rPr>
              <w:tab/>
            </w:r>
          </w:p>
        </w:tc>
      </w:tr>
    </w:tbl>
    <w:p w14:paraId="2D9E36F7" w14:textId="77777777" w:rsidR="00307428" w:rsidRDefault="00307428">
      <w:pPr>
        <w:spacing w:before="2" w:after="2" w:line="288" w:lineRule="auto"/>
        <w:rPr>
          <w:i/>
          <w:sz w:val="16"/>
        </w:rPr>
      </w:pPr>
    </w:p>
    <w:p w14:paraId="35A77BBD" w14:textId="640BA3F7" w:rsidR="0008228C" w:rsidRDefault="00193375">
      <w:pPr>
        <w:spacing w:before="2" w:after="2" w:line="288" w:lineRule="auto"/>
        <w:rPr>
          <w:rFonts w:ascii="Calibri" w:eastAsia="Calibri" w:hAnsi="Calibri" w:cs="Calibri"/>
          <w:sz w:val="22"/>
        </w:rPr>
      </w:pPr>
      <w:r>
        <w:rPr>
          <w:i/>
          <w:sz w:val="16"/>
        </w:rPr>
        <w:t>(1) Non-GAAP measure.</w:t>
      </w:r>
    </w:p>
    <w:p w14:paraId="7542C9D0" w14:textId="77777777" w:rsidR="0008228C" w:rsidRDefault="0008228C">
      <w:pPr>
        <w:spacing w:before="2" w:after="2" w:line="288" w:lineRule="auto"/>
        <w:rPr>
          <w:rFonts w:ascii="Calibri" w:eastAsia="Calibri" w:hAnsi="Calibri" w:cs="Calibri"/>
          <w:sz w:val="22"/>
        </w:rPr>
        <w:sectPr w:rsidR="0008228C">
          <w:headerReference w:type="default" r:id="rId14"/>
          <w:footerReference w:type="default" r:id="rId15"/>
          <w:pgSz w:w="12240" w:h="15840"/>
          <w:pgMar w:top="720" w:right="720" w:bottom="720" w:left="720" w:header="560" w:footer="720" w:gutter="0"/>
          <w:cols w:space="708"/>
        </w:sectPr>
      </w:pPr>
    </w:p>
    <w:p w14:paraId="1E452DB2" w14:textId="77777777" w:rsidR="0008228C" w:rsidRDefault="00193375">
      <w:pPr>
        <w:spacing w:after="2" w:line="300" w:lineRule="auto"/>
        <w:outlineLvl w:val="0"/>
        <w:rPr>
          <w:rFonts w:ascii="Calibri" w:eastAsia="Calibri" w:hAnsi="Calibri" w:cs="Calibri"/>
          <w:sz w:val="22"/>
        </w:rPr>
      </w:pPr>
      <w:bookmarkStart w:id="6" w:name="Section7"/>
      <w:bookmarkEnd w:id="6"/>
      <w:r>
        <w:rPr>
          <w:rFonts w:ascii="Calibri" w:eastAsia="Calibri" w:hAnsi="Calibri" w:cs="Calibri"/>
          <w:b/>
        </w:rPr>
        <w:lastRenderedPageBreak/>
        <w:t>INVESTOR RELATIONS CONTACT</w:t>
      </w:r>
    </w:p>
    <w:p w14:paraId="5EF6C653" w14:textId="77777777" w:rsidR="0008228C" w:rsidRDefault="00193375">
      <w:pPr>
        <w:spacing w:line="288" w:lineRule="auto"/>
        <w:rPr>
          <w:rFonts w:ascii="Calibri" w:eastAsia="Calibri" w:hAnsi="Calibri" w:cs="Calibri"/>
          <w:sz w:val="22"/>
        </w:rPr>
      </w:pPr>
      <w:r>
        <w:t>Kevin Mc Cabe</w:t>
      </w:r>
    </w:p>
    <w:p w14:paraId="3C2354FD" w14:textId="77777777" w:rsidR="0008228C" w:rsidRDefault="00193375">
      <w:pPr>
        <w:spacing w:line="288" w:lineRule="auto"/>
        <w:rPr>
          <w:rFonts w:ascii="Calibri" w:eastAsia="Calibri" w:hAnsi="Calibri" w:cs="Calibri"/>
          <w:sz w:val="22"/>
        </w:rPr>
      </w:pPr>
      <w:r>
        <w:t>Bank of Southern California</w:t>
      </w:r>
    </w:p>
    <w:p w14:paraId="32804AE6" w14:textId="77777777" w:rsidR="0008228C" w:rsidRDefault="00193375">
      <w:pPr>
        <w:spacing w:line="288" w:lineRule="auto"/>
        <w:rPr>
          <w:rFonts w:ascii="Calibri" w:eastAsia="Calibri" w:hAnsi="Calibri" w:cs="Calibri"/>
          <w:sz w:val="22"/>
        </w:rPr>
      </w:pPr>
      <w:r>
        <w:t>kmccabe@banksocal.com</w:t>
      </w:r>
    </w:p>
    <w:p w14:paraId="7EC61CFD" w14:textId="77777777" w:rsidR="0008228C" w:rsidRDefault="00193375">
      <w:pPr>
        <w:spacing w:line="288" w:lineRule="auto"/>
        <w:rPr>
          <w:rFonts w:ascii="Calibri" w:eastAsia="Calibri" w:hAnsi="Calibri" w:cs="Calibri"/>
          <w:sz w:val="22"/>
        </w:rPr>
      </w:pPr>
      <w:r>
        <w:t>818.637.7065</w:t>
      </w:r>
    </w:p>
    <w:sectPr w:rsidR="0008228C">
      <w:headerReference w:type="default" r:id="rId16"/>
      <w:footerReference w:type="default" r:id="rId17"/>
      <w:pgSz w:w="12240" w:h="15840"/>
      <w:pgMar w:top="835" w:right="720" w:bottom="1238" w:left="720" w:header="56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A45F" w14:textId="77777777" w:rsidR="00A12DCF" w:rsidRDefault="00A12DCF">
      <w:r>
        <w:separator/>
      </w:r>
    </w:p>
  </w:endnote>
  <w:endnote w:type="continuationSeparator" w:id="0">
    <w:p w14:paraId="3FA04E8F" w14:textId="77777777" w:rsidR="00A12DCF" w:rsidRDefault="00A1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Palatino Linotyp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FD9D" w14:textId="77777777" w:rsidR="0008228C" w:rsidRDefault="00193375">
    <w:pPr>
      <w:tabs>
        <w:tab w:val="center" w:pos="4680"/>
        <w:tab w:val="right" w:pos="9360"/>
      </w:tabs>
      <w:jc w:val="right"/>
      <w:rPr>
        <w:rFonts w:ascii="Calibri" w:eastAsia="Calibri" w:hAnsi="Calibri" w:cs="Calibri"/>
        <w:sz w:val="22"/>
      </w:rPr>
    </w:pPr>
    <w:r>
      <w:rPr>
        <w:rFonts w:ascii="Calibri" w:eastAsia="Calibri" w:hAnsi="Calibri" w:cs="Calibri"/>
        <w:sz w:val="22"/>
      </w:rPr>
      <w:fldChar w:fldCharType="begin"/>
    </w:r>
    <w:r>
      <w:rPr>
        <w:rFonts w:ascii="Calibri" w:eastAsia="Calibri" w:hAnsi="Calibri" w:cs="Calibri"/>
        <w:sz w:val="22"/>
      </w:rPr>
      <w:instrText xml:space="preserve"> PAGE </w:instrText>
    </w:r>
    <w:r>
      <w:rPr>
        <w:rFonts w:ascii="Calibri" w:eastAsia="Calibri" w:hAnsi="Calibri" w:cs="Calibri"/>
        <w:sz w:val="22"/>
      </w:rPr>
      <w:fldChar w:fldCharType="separate"/>
    </w:r>
    <w:r>
      <w:rPr>
        <w:rFonts w:ascii="Calibri" w:eastAsia="Calibri" w:hAnsi="Calibri" w:cs="Calibri"/>
        <w:sz w:val="22"/>
      </w:rPr>
      <w:t>10</w:t>
    </w:r>
    <w:r>
      <w:rPr>
        <w:rFonts w:ascii="Calibri" w:eastAsia="Calibri" w:hAnsi="Calibri" w:cs="Calibri"/>
        <w:sz w:val="22"/>
      </w:rPr>
      <w:fldChar w:fldCharType="end"/>
    </w:r>
  </w:p>
  <w:p w14:paraId="283A4F59" w14:textId="77777777" w:rsidR="0008228C" w:rsidRDefault="0008228C">
    <w:pPr>
      <w:tabs>
        <w:tab w:val="center" w:pos="4680"/>
        <w:tab w:val="right" w:pos="9360"/>
      </w:tabs>
      <w:rPr>
        <w:rFonts w:ascii="Calibri" w:eastAsia="Calibri" w:hAnsi="Calibri" w:cs="Calibr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2882" w14:textId="77777777" w:rsidR="0008228C" w:rsidRDefault="0008228C">
    <w:pPr>
      <w:spacing w:after="2" w:line="300" w:lineRule="auto"/>
      <w:rPr>
        <w:rFonts w:ascii="Calibri" w:eastAsia="Calibri" w:hAnsi="Calibri" w:cs="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2B96" w14:textId="77777777" w:rsidR="0008228C" w:rsidRDefault="00193375">
    <w:pPr>
      <w:tabs>
        <w:tab w:val="center" w:pos="4680"/>
        <w:tab w:val="right" w:pos="9360"/>
      </w:tabs>
      <w:jc w:val="right"/>
      <w:rPr>
        <w:rFonts w:ascii="Calibri" w:eastAsia="Calibri" w:hAnsi="Calibri" w:cs="Calibri"/>
        <w:sz w:val="22"/>
      </w:rPr>
    </w:pPr>
    <w:r>
      <w:rPr>
        <w:rFonts w:ascii="Calibri" w:eastAsia="Calibri" w:hAnsi="Calibri" w:cs="Calibri"/>
        <w:sz w:val="22"/>
      </w:rPr>
      <w:fldChar w:fldCharType="begin"/>
    </w:r>
    <w:r>
      <w:rPr>
        <w:rFonts w:ascii="Calibri" w:eastAsia="Calibri" w:hAnsi="Calibri" w:cs="Calibri"/>
        <w:sz w:val="22"/>
      </w:rPr>
      <w:instrText xml:space="preserve"> PAGE </w:instrText>
    </w:r>
    <w:r>
      <w:rPr>
        <w:rFonts w:ascii="Calibri" w:eastAsia="Calibri" w:hAnsi="Calibri" w:cs="Calibri"/>
        <w:sz w:val="22"/>
      </w:rPr>
      <w:fldChar w:fldCharType="separate"/>
    </w:r>
    <w:r>
      <w:rPr>
        <w:rFonts w:ascii="Calibri" w:eastAsia="Calibri" w:hAnsi="Calibri" w:cs="Calibri"/>
        <w:sz w:val="22"/>
      </w:rPr>
      <w:t>12</w:t>
    </w:r>
    <w:r>
      <w:rPr>
        <w:rFonts w:ascii="Calibri" w:eastAsia="Calibri" w:hAnsi="Calibri" w:cs="Calibri"/>
        <w:sz w:val="22"/>
      </w:rPr>
      <w:fldChar w:fldCharType="end"/>
    </w:r>
  </w:p>
  <w:p w14:paraId="2010C5B4" w14:textId="77777777" w:rsidR="0008228C" w:rsidRDefault="0008228C">
    <w:pPr>
      <w:tabs>
        <w:tab w:val="center" w:pos="4680"/>
        <w:tab w:val="right" w:pos="9360"/>
      </w:tabs>
      <w:rPr>
        <w:rFonts w:ascii="Calibri" w:eastAsia="Calibri" w:hAnsi="Calibri" w:cs="Calibri"/>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D25F" w14:textId="77777777" w:rsidR="0008228C" w:rsidRDefault="00193375">
    <w:pPr>
      <w:tabs>
        <w:tab w:val="center" w:pos="4680"/>
        <w:tab w:val="right" w:pos="9360"/>
      </w:tabs>
      <w:jc w:val="right"/>
      <w:rPr>
        <w:rFonts w:ascii="Calibri" w:eastAsia="Calibri" w:hAnsi="Calibri" w:cs="Calibri"/>
        <w:sz w:val="22"/>
      </w:rPr>
    </w:pPr>
    <w:r>
      <w:rPr>
        <w:rFonts w:ascii="Calibri" w:eastAsia="Calibri" w:hAnsi="Calibri" w:cs="Calibri"/>
        <w:sz w:val="22"/>
      </w:rPr>
      <w:fldChar w:fldCharType="begin"/>
    </w:r>
    <w:r>
      <w:rPr>
        <w:rFonts w:ascii="Calibri" w:eastAsia="Calibri" w:hAnsi="Calibri" w:cs="Calibri"/>
        <w:sz w:val="22"/>
      </w:rPr>
      <w:instrText xml:space="preserve"> PAGE </w:instrText>
    </w:r>
    <w:r>
      <w:rPr>
        <w:rFonts w:ascii="Calibri" w:eastAsia="Calibri" w:hAnsi="Calibri" w:cs="Calibri"/>
        <w:sz w:val="22"/>
      </w:rPr>
      <w:fldChar w:fldCharType="separate"/>
    </w:r>
    <w:r>
      <w:rPr>
        <w:rFonts w:ascii="Calibri" w:eastAsia="Calibri" w:hAnsi="Calibri" w:cs="Calibri"/>
        <w:sz w:val="22"/>
      </w:rPr>
      <w:t>13</w:t>
    </w:r>
    <w:r>
      <w:rPr>
        <w:rFonts w:ascii="Calibri" w:eastAsia="Calibri" w:hAnsi="Calibri" w:cs="Calibri"/>
        <w:sz w:val="22"/>
      </w:rPr>
      <w:fldChar w:fldCharType="end"/>
    </w:r>
  </w:p>
  <w:p w14:paraId="3D407CAD" w14:textId="77777777" w:rsidR="0008228C" w:rsidRDefault="0008228C">
    <w:pPr>
      <w:tabs>
        <w:tab w:val="center" w:pos="4680"/>
        <w:tab w:val="right" w:pos="9360"/>
      </w:tabs>
      <w:rPr>
        <w:rFonts w:ascii="Calibri" w:eastAsia="Calibri" w:hAnsi="Calibri" w:cs="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9BFB" w14:textId="77777777" w:rsidR="00A12DCF" w:rsidRDefault="00A12DCF">
      <w:r>
        <w:separator/>
      </w:r>
    </w:p>
  </w:footnote>
  <w:footnote w:type="continuationSeparator" w:id="0">
    <w:p w14:paraId="696C9214" w14:textId="77777777" w:rsidR="00A12DCF" w:rsidRDefault="00A1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82A3" w14:textId="77777777" w:rsidR="0008228C" w:rsidRDefault="0008228C">
    <w:pPr>
      <w:tabs>
        <w:tab w:val="center" w:pos="4680"/>
        <w:tab w:val="right" w:pos="9360"/>
      </w:tabs>
      <w:jc w:val="right"/>
      <w:rPr>
        <w:rFonts w:ascii="Calibri" w:eastAsia="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1FC4" w14:textId="77777777" w:rsidR="0008228C" w:rsidRDefault="0008228C">
    <w:pPr>
      <w:spacing w:after="2" w:line="300" w:lineRule="auto"/>
      <w:rPr>
        <w:rFonts w:ascii="Calibri" w:eastAsia="Calibri" w:hAnsi="Calibri" w:cs="Calibr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0A78" w14:textId="77777777" w:rsidR="0008228C" w:rsidRDefault="0008228C">
    <w:pPr>
      <w:tabs>
        <w:tab w:val="center" w:pos="4680"/>
        <w:tab w:val="right" w:pos="9360"/>
      </w:tabs>
      <w:jc w:val="right"/>
      <w:rPr>
        <w:rFonts w:ascii="Calibri" w:eastAsia="Calibri" w:hAnsi="Calibri" w:cs="Calibri"/>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7432" w14:textId="77777777" w:rsidR="0008228C" w:rsidRDefault="0008228C">
    <w:pPr>
      <w:tabs>
        <w:tab w:val="center" w:pos="4680"/>
        <w:tab w:val="right" w:pos="9360"/>
      </w:tabs>
      <w:jc w:val="right"/>
      <w:rPr>
        <w:rFonts w:ascii="Calibri" w:eastAsia="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15:restartNumberingAfterBreak="0">
    <w:nsid w:val="0000000D"/>
    <w:multiLevelType w:val="hybridMultilevel"/>
    <w:tmpl w:val="0000000D"/>
    <w:lvl w:ilvl="0" w:tplc="57666D78">
      <w:start w:val="1"/>
      <w:numFmt w:val="bullet"/>
      <w:lvlText w:val="•"/>
      <w:lvlJc w:val="left"/>
      <w:pPr>
        <w:tabs>
          <w:tab w:val="num" w:pos="720"/>
        </w:tabs>
        <w:ind w:left="720" w:hanging="360"/>
      </w:pPr>
      <w:rPr>
        <w:rFonts w:ascii="Times New Roman" w:eastAsia="Times New Roman" w:hAnsi="Times New Roman" w:cs="Times New Roman"/>
        <w:b/>
        <w:i w:val="0"/>
        <w:strike w:val="0"/>
        <w:sz w:val="24"/>
      </w:rPr>
    </w:lvl>
    <w:lvl w:ilvl="1" w:tplc="096242C2">
      <w:start w:val="1"/>
      <w:numFmt w:val="bullet"/>
      <w:lvlText w:val="o"/>
      <w:lvlJc w:val="left"/>
      <w:pPr>
        <w:tabs>
          <w:tab w:val="num" w:pos="1440"/>
        </w:tabs>
        <w:ind w:left="1440" w:hanging="360"/>
      </w:pPr>
      <w:rPr>
        <w:rFonts w:ascii="Courier New" w:hAnsi="Courier New"/>
      </w:rPr>
    </w:lvl>
    <w:lvl w:ilvl="2" w:tplc="8A52179A">
      <w:start w:val="1"/>
      <w:numFmt w:val="bullet"/>
      <w:lvlText w:val=""/>
      <w:lvlJc w:val="left"/>
      <w:pPr>
        <w:tabs>
          <w:tab w:val="num" w:pos="2160"/>
        </w:tabs>
        <w:ind w:left="2160" w:hanging="360"/>
      </w:pPr>
      <w:rPr>
        <w:rFonts w:ascii="Wingdings" w:hAnsi="Wingdings"/>
      </w:rPr>
    </w:lvl>
    <w:lvl w:ilvl="3" w:tplc="B08A403C">
      <w:start w:val="1"/>
      <w:numFmt w:val="bullet"/>
      <w:lvlText w:val=""/>
      <w:lvlJc w:val="left"/>
      <w:pPr>
        <w:tabs>
          <w:tab w:val="num" w:pos="2880"/>
        </w:tabs>
        <w:ind w:left="2880" w:hanging="360"/>
      </w:pPr>
      <w:rPr>
        <w:rFonts w:ascii="Symbol" w:hAnsi="Symbol"/>
      </w:rPr>
    </w:lvl>
    <w:lvl w:ilvl="4" w:tplc="C02A96BC">
      <w:start w:val="1"/>
      <w:numFmt w:val="bullet"/>
      <w:lvlText w:val="o"/>
      <w:lvlJc w:val="left"/>
      <w:pPr>
        <w:tabs>
          <w:tab w:val="num" w:pos="3600"/>
        </w:tabs>
        <w:ind w:left="3600" w:hanging="360"/>
      </w:pPr>
      <w:rPr>
        <w:rFonts w:ascii="Courier New" w:hAnsi="Courier New"/>
      </w:rPr>
    </w:lvl>
    <w:lvl w:ilvl="5" w:tplc="2F1C918C">
      <w:start w:val="1"/>
      <w:numFmt w:val="bullet"/>
      <w:lvlText w:val=""/>
      <w:lvlJc w:val="left"/>
      <w:pPr>
        <w:tabs>
          <w:tab w:val="num" w:pos="4320"/>
        </w:tabs>
        <w:ind w:left="4320" w:hanging="360"/>
      </w:pPr>
      <w:rPr>
        <w:rFonts w:ascii="Wingdings" w:hAnsi="Wingdings"/>
      </w:rPr>
    </w:lvl>
    <w:lvl w:ilvl="6" w:tplc="2786C40E">
      <w:start w:val="1"/>
      <w:numFmt w:val="bullet"/>
      <w:lvlText w:val=""/>
      <w:lvlJc w:val="left"/>
      <w:pPr>
        <w:tabs>
          <w:tab w:val="num" w:pos="5040"/>
        </w:tabs>
        <w:ind w:left="5040" w:hanging="360"/>
      </w:pPr>
      <w:rPr>
        <w:rFonts w:ascii="Symbol" w:hAnsi="Symbol"/>
      </w:rPr>
    </w:lvl>
    <w:lvl w:ilvl="7" w:tplc="C6B4680E">
      <w:start w:val="1"/>
      <w:numFmt w:val="bullet"/>
      <w:lvlText w:val="o"/>
      <w:lvlJc w:val="left"/>
      <w:pPr>
        <w:tabs>
          <w:tab w:val="num" w:pos="5760"/>
        </w:tabs>
        <w:ind w:left="5760" w:hanging="360"/>
      </w:pPr>
      <w:rPr>
        <w:rFonts w:ascii="Courier New" w:hAnsi="Courier New"/>
      </w:rPr>
    </w:lvl>
    <w:lvl w:ilvl="8" w:tplc="47D2C5A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924AB22">
      <w:start w:val="1"/>
      <w:numFmt w:val="bullet"/>
      <w:lvlText w:val="•"/>
      <w:lvlJc w:val="left"/>
      <w:pPr>
        <w:tabs>
          <w:tab w:val="num" w:pos="720"/>
        </w:tabs>
        <w:ind w:left="720" w:hanging="360"/>
      </w:pPr>
      <w:rPr>
        <w:rFonts w:ascii="Arial" w:eastAsia="Arial" w:hAnsi="Arial" w:cs="Arial"/>
        <w:b w:val="0"/>
        <w:i w:val="0"/>
        <w:strike w:val="0"/>
        <w:sz w:val="24"/>
      </w:rPr>
    </w:lvl>
    <w:lvl w:ilvl="1" w:tplc="C032DC26">
      <w:start w:val="1"/>
      <w:numFmt w:val="bullet"/>
      <w:lvlText w:val="o"/>
      <w:lvlJc w:val="left"/>
      <w:pPr>
        <w:tabs>
          <w:tab w:val="num" w:pos="1440"/>
        </w:tabs>
        <w:ind w:left="1440" w:hanging="360"/>
      </w:pPr>
      <w:rPr>
        <w:rFonts w:ascii="Courier New" w:hAnsi="Courier New"/>
      </w:rPr>
    </w:lvl>
    <w:lvl w:ilvl="2" w:tplc="47B66000">
      <w:start w:val="1"/>
      <w:numFmt w:val="bullet"/>
      <w:lvlText w:val=""/>
      <w:lvlJc w:val="left"/>
      <w:pPr>
        <w:tabs>
          <w:tab w:val="num" w:pos="2160"/>
        </w:tabs>
        <w:ind w:left="2160" w:hanging="360"/>
      </w:pPr>
      <w:rPr>
        <w:rFonts w:ascii="Wingdings" w:hAnsi="Wingdings"/>
      </w:rPr>
    </w:lvl>
    <w:lvl w:ilvl="3" w:tplc="4634C904">
      <w:start w:val="1"/>
      <w:numFmt w:val="bullet"/>
      <w:lvlText w:val=""/>
      <w:lvlJc w:val="left"/>
      <w:pPr>
        <w:tabs>
          <w:tab w:val="num" w:pos="2880"/>
        </w:tabs>
        <w:ind w:left="2880" w:hanging="360"/>
      </w:pPr>
      <w:rPr>
        <w:rFonts w:ascii="Symbol" w:hAnsi="Symbol"/>
      </w:rPr>
    </w:lvl>
    <w:lvl w:ilvl="4" w:tplc="5B880138">
      <w:start w:val="1"/>
      <w:numFmt w:val="bullet"/>
      <w:lvlText w:val="o"/>
      <w:lvlJc w:val="left"/>
      <w:pPr>
        <w:tabs>
          <w:tab w:val="num" w:pos="3600"/>
        </w:tabs>
        <w:ind w:left="3600" w:hanging="360"/>
      </w:pPr>
      <w:rPr>
        <w:rFonts w:ascii="Courier New" w:hAnsi="Courier New"/>
      </w:rPr>
    </w:lvl>
    <w:lvl w:ilvl="5" w:tplc="18246DB2">
      <w:start w:val="1"/>
      <w:numFmt w:val="bullet"/>
      <w:lvlText w:val=""/>
      <w:lvlJc w:val="left"/>
      <w:pPr>
        <w:tabs>
          <w:tab w:val="num" w:pos="4320"/>
        </w:tabs>
        <w:ind w:left="4320" w:hanging="360"/>
      </w:pPr>
      <w:rPr>
        <w:rFonts w:ascii="Wingdings" w:hAnsi="Wingdings"/>
      </w:rPr>
    </w:lvl>
    <w:lvl w:ilvl="6" w:tplc="E3664694">
      <w:start w:val="1"/>
      <w:numFmt w:val="bullet"/>
      <w:lvlText w:val=""/>
      <w:lvlJc w:val="left"/>
      <w:pPr>
        <w:tabs>
          <w:tab w:val="num" w:pos="5040"/>
        </w:tabs>
        <w:ind w:left="5040" w:hanging="360"/>
      </w:pPr>
      <w:rPr>
        <w:rFonts w:ascii="Symbol" w:hAnsi="Symbol"/>
      </w:rPr>
    </w:lvl>
    <w:lvl w:ilvl="7" w:tplc="2B1AD442">
      <w:start w:val="1"/>
      <w:numFmt w:val="bullet"/>
      <w:lvlText w:val="o"/>
      <w:lvlJc w:val="left"/>
      <w:pPr>
        <w:tabs>
          <w:tab w:val="num" w:pos="5760"/>
        </w:tabs>
        <w:ind w:left="5760" w:hanging="360"/>
      </w:pPr>
      <w:rPr>
        <w:rFonts w:ascii="Courier New" w:hAnsi="Courier New"/>
      </w:rPr>
    </w:lvl>
    <w:lvl w:ilvl="8" w:tplc="A1B647F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C5F02BD8">
      <w:start w:val="1"/>
      <w:numFmt w:val="bullet"/>
      <w:lvlText w:val="•"/>
      <w:lvlJc w:val="left"/>
      <w:pPr>
        <w:tabs>
          <w:tab w:val="num" w:pos="720"/>
        </w:tabs>
        <w:ind w:left="720" w:hanging="360"/>
      </w:pPr>
      <w:rPr>
        <w:rFonts w:ascii="Times New Roman" w:eastAsia="Times New Roman" w:hAnsi="Times New Roman" w:cs="Times New Roman"/>
        <w:b w:val="0"/>
        <w:i w:val="0"/>
        <w:strike w:val="0"/>
        <w:sz w:val="24"/>
      </w:rPr>
    </w:lvl>
    <w:lvl w:ilvl="1" w:tplc="4C1088D0">
      <w:start w:val="1"/>
      <w:numFmt w:val="bullet"/>
      <w:lvlText w:val="o"/>
      <w:lvlJc w:val="left"/>
      <w:pPr>
        <w:tabs>
          <w:tab w:val="num" w:pos="1440"/>
        </w:tabs>
        <w:ind w:left="1440" w:hanging="360"/>
      </w:pPr>
      <w:rPr>
        <w:rFonts w:ascii="Courier New" w:hAnsi="Courier New"/>
      </w:rPr>
    </w:lvl>
    <w:lvl w:ilvl="2" w:tplc="F3ACAC04">
      <w:start w:val="1"/>
      <w:numFmt w:val="bullet"/>
      <w:lvlText w:val=""/>
      <w:lvlJc w:val="left"/>
      <w:pPr>
        <w:tabs>
          <w:tab w:val="num" w:pos="2160"/>
        </w:tabs>
        <w:ind w:left="2160" w:hanging="360"/>
      </w:pPr>
      <w:rPr>
        <w:rFonts w:ascii="Wingdings" w:hAnsi="Wingdings"/>
      </w:rPr>
    </w:lvl>
    <w:lvl w:ilvl="3" w:tplc="9EEC6BA6">
      <w:start w:val="1"/>
      <w:numFmt w:val="bullet"/>
      <w:lvlText w:val=""/>
      <w:lvlJc w:val="left"/>
      <w:pPr>
        <w:tabs>
          <w:tab w:val="num" w:pos="2880"/>
        </w:tabs>
        <w:ind w:left="2880" w:hanging="360"/>
      </w:pPr>
      <w:rPr>
        <w:rFonts w:ascii="Symbol" w:hAnsi="Symbol"/>
      </w:rPr>
    </w:lvl>
    <w:lvl w:ilvl="4" w:tplc="3ECA1786">
      <w:start w:val="1"/>
      <w:numFmt w:val="bullet"/>
      <w:lvlText w:val="o"/>
      <w:lvlJc w:val="left"/>
      <w:pPr>
        <w:tabs>
          <w:tab w:val="num" w:pos="3600"/>
        </w:tabs>
        <w:ind w:left="3600" w:hanging="360"/>
      </w:pPr>
      <w:rPr>
        <w:rFonts w:ascii="Courier New" w:hAnsi="Courier New"/>
      </w:rPr>
    </w:lvl>
    <w:lvl w:ilvl="5" w:tplc="D346A200">
      <w:start w:val="1"/>
      <w:numFmt w:val="bullet"/>
      <w:lvlText w:val=""/>
      <w:lvlJc w:val="left"/>
      <w:pPr>
        <w:tabs>
          <w:tab w:val="num" w:pos="4320"/>
        </w:tabs>
        <w:ind w:left="4320" w:hanging="360"/>
      </w:pPr>
      <w:rPr>
        <w:rFonts w:ascii="Wingdings" w:hAnsi="Wingdings"/>
      </w:rPr>
    </w:lvl>
    <w:lvl w:ilvl="6" w:tplc="5F744540">
      <w:start w:val="1"/>
      <w:numFmt w:val="bullet"/>
      <w:lvlText w:val=""/>
      <w:lvlJc w:val="left"/>
      <w:pPr>
        <w:tabs>
          <w:tab w:val="num" w:pos="5040"/>
        </w:tabs>
        <w:ind w:left="5040" w:hanging="360"/>
      </w:pPr>
      <w:rPr>
        <w:rFonts w:ascii="Symbol" w:hAnsi="Symbol"/>
      </w:rPr>
    </w:lvl>
    <w:lvl w:ilvl="7" w:tplc="29CAB5F0">
      <w:start w:val="1"/>
      <w:numFmt w:val="bullet"/>
      <w:lvlText w:val="o"/>
      <w:lvlJc w:val="left"/>
      <w:pPr>
        <w:tabs>
          <w:tab w:val="num" w:pos="5760"/>
        </w:tabs>
        <w:ind w:left="5760" w:hanging="360"/>
      </w:pPr>
      <w:rPr>
        <w:rFonts w:ascii="Courier New" w:hAnsi="Courier New"/>
      </w:rPr>
    </w:lvl>
    <w:lvl w:ilvl="8" w:tplc="5FCED14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23665A28">
      <w:start w:val="1"/>
      <w:numFmt w:val="bullet"/>
      <w:lvlText w:val="•"/>
      <w:lvlJc w:val="left"/>
      <w:pPr>
        <w:tabs>
          <w:tab w:val="num" w:pos="720"/>
        </w:tabs>
        <w:ind w:left="720" w:hanging="360"/>
      </w:pPr>
      <w:rPr>
        <w:rFonts w:ascii="Times New Roman" w:eastAsia="Times New Roman" w:hAnsi="Times New Roman" w:cs="Times New Roman"/>
        <w:b w:val="0"/>
        <w:i w:val="0"/>
        <w:strike w:val="0"/>
        <w:sz w:val="24"/>
      </w:rPr>
    </w:lvl>
    <w:lvl w:ilvl="1" w:tplc="0A34EA0A">
      <w:start w:val="1"/>
      <w:numFmt w:val="bullet"/>
      <w:lvlText w:val="o"/>
      <w:lvlJc w:val="left"/>
      <w:pPr>
        <w:tabs>
          <w:tab w:val="num" w:pos="1440"/>
        </w:tabs>
        <w:ind w:left="1440" w:hanging="360"/>
      </w:pPr>
      <w:rPr>
        <w:rFonts w:ascii="Courier New" w:hAnsi="Courier New"/>
      </w:rPr>
    </w:lvl>
    <w:lvl w:ilvl="2" w:tplc="38D6D9EE">
      <w:start w:val="1"/>
      <w:numFmt w:val="bullet"/>
      <w:lvlText w:val=""/>
      <w:lvlJc w:val="left"/>
      <w:pPr>
        <w:tabs>
          <w:tab w:val="num" w:pos="2160"/>
        </w:tabs>
        <w:ind w:left="2160" w:hanging="360"/>
      </w:pPr>
      <w:rPr>
        <w:rFonts w:ascii="Wingdings" w:hAnsi="Wingdings"/>
      </w:rPr>
    </w:lvl>
    <w:lvl w:ilvl="3" w:tplc="0A9A32FA">
      <w:start w:val="1"/>
      <w:numFmt w:val="bullet"/>
      <w:lvlText w:val=""/>
      <w:lvlJc w:val="left"/>
      <w:pPr>
        <w:tabs>
          <w:tab w:val="num" w:pos="2880"/>
        </w:tabs>
        <w:ind w:left="2880" w:hanging="360"/>
      </w:pPr>
      <w:rPr>
        <w:rFonts w:ascii="Symbol" w:hAnsi="Symbol"/>
      </w:rPr>
    </w:lvl>
    <w:lvl w:ilvl="4" w:tplc="31BC6996">
      <w:start w:val="1"/>
      <w:numFmt w:val="bullet"/>
      <w:lvlText w:val="o"/>
      <w:lvlJc w:val="left"/>
      <w:pPr>
        <w:tabs>
          <w:tab w:val="num" w:pos="3600"/>
        </w:tabs>
        <w:ind w:left="3600" w:hanging="360"/>
      </w:pPr>
      <w:rPr>
        <w:rFonts w:ascii="Courier New" w:hAnsi="Courier New"/>
      </w:rPr>
    </w:lvl>
    <w:lvl w:ilvl="5" w:tplc="F8D254DE">
      <w:start w:val="1"/>
      <w:numFmt w:val="bullet"/>
      <w:lvlText w:val=""/>
      <w:lvlJc w:val="left"/>
      <w:pPr>
        <w:tabs>
          <w:tab w:val="num" w:pos="4320"/>
        </w:tabs>
        <w:ind w:left="4320" w:hanging="360"/>
      </w:pPr>
      <w:rPr>
        <w:rFonts w:ascii="Wingdings" w:hAnsi="Wingdings"/>
      </w:rPr>
    </w:lvl>
    <w:lvl w:ilvl="6" w:tplc="39D02E48">
      <w:start w:val="1"/>
      <w:numFmt w:val="bullet"/>
      <w:lvlText w:val=""/>
      <w:lvlJc w:val="left"/>
      <w:pPr>
        <w:tabs>
          <w:tab w:val="num" w:pos="5040"/>
        </w:tabs>
        <w:ind w:left="5040" w:hanging="360"/>
      </w:pPr>
      <w:rPr>
        <w:rFonts w:ascii="Symbol" w:hAnsi="Symbol"/>
      </w:rPr>
    </w:lvl>
    <w:lvl w:ilvl="7" w:tplc="075802B6">
      <w:start w:val="1"/>
      <w:numFmt w:val="bullet"/>
      <w:lvlText w:val="o"/>
      <w:lvlJc w:val="left"/>
      <w:pPr>
        <w:tabs>
          <w:tab w:val="num" w:pos="5760"/>
        </w:tabs>
        <w:ind w:left="5760" w:hanging="360"/>
      </w:pPr>
      <w:rPr>
        <w:rFonts w:ascii="Courier New" w:hAnsi="Courier New"/>
      </w:rPr>
    </w:lvl>
    <w:lvl w:ilvl="8" w:tplc="51E2ACC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F94A158">
      <w:start w:val="1"/>
      <w:numFmt w:val="bullet"/>
      <w:lvlText w:val="•"/>
      <w:lvlJc w:val="left"/>
      <w:pPr>
        <w:tabs>
          <w:tab w:val="num" w:pos="720"/>
        </w:tabs>
        <w:ind w:left="720" w:hanging="360"/>
      </w:pPr>
      <w:rPr>
        <w:rFonts w:ascii="Arial" w:eastAsia="Arial" w:hAnsi="Arial" w:cs="Arial"/>
        <w:b w:val="0"/>
        <w:i w:val="0"/>
        <w:strike w:val="0"/>
        <w:sz w:val="24"/>
      </w:rPr>
    </w:lvl>
    <w:lvl w:ilvl="1" w:tplc="4DF0661E">
      <w:start w:val="1"/>
      <w:numFmt w:val="bullet"/>
      <w:lvlText w:val="o"/>
      <w:lvlJc w:val="left"/>
      <w:pPr>
        <w:tabs>
          <w:tab w:val="num" w:pos="1440"/>
        </w:tabs>
        <w:ind w:left="1440" w:hanging="360"/>
      </w:pPr>
      <w:rPr>
        <w:rFonts w:ascii="Courier New" w:hAnsi="Courier New"/>
      </w:rPr>
    </w:lvl>
    <w:lvl w:ilvl="2" w:tplc="FF608888">
      <w:start w:val="1"/>
      <w:numFmt w:val="bullet"/>
      <w:lvlText w:val=""/>
      <w:lvlJc w:val="left"/>
      <w:pPr>
        <w:tabs>
          <w:tab w:val="num" w:pos="2160"/>
        </w:tabs>
        <w:ind w:left="2160" w:hanging="360"/>
      </w:pPr>
      <w:rPr>
        <w:rFonts w:ascii="Wingdings" w:hAnsi="Wingdings"/>
      </w:rPr>
    </w:lvl>
    <w:lvl w:ilvl="3" w:tplc="314A340E">
      <w:start w:val="1"/>
      <w:numFmt w:val="bullet"/>
      <w:lvlText w:val=""/>
      <w:lvlJc w:val="left"/>
      <w:pPr>
        <w:tabs>
          <w:tab w:val="num" w:pos="2880"/>
        </w:tabs>
        <w:ind w:left="2880" w:hanging="360"/>
      </w:pPr>
      <w:rPr>
        <w:rFonts w:ascii="Symbol" w:hAnsi="Symbol"/>
      </w:rPr>
    </w:lvl>
    <w:lvl w:ilvl="4" w:tplc="7EB0A08C">
      <w:start w:val="1"/>
      <w:numFmt w:val="bullet"/>
      <w:lvlText w:val="o"/>
      <w:lvlJc w:val="left"/>
      <w:pPr>
        <w:tabs>
          <w:tab w:val="num" w:pos="3600"/>
        </w:tabs>
        <w:ind w:left="3600" w:hanging="360"/>
      </w:pPr>
      <w:rPr>
        <w:rFonts w:ascii="Courier New" w:hAnsi="Courier New"/>
      </w:rPr>
    </w:lvl>
    <w:lvl w:ilvl="5" w:tplc="8E8E7B32">
      <w:start w:val="1"/>
      <w:numFmt w:val="bullet"/>
      <w:lvlText w:val=""/>
      <w:lvlJc w:val="left"/>
      <w:pPr>
        <w:tabs>
          <w:tab w:val="num" w:pos="4320"/>
        </w:tabs>
        <w:ind w:left="4320" w:hanging="360"/>
      </w:pPr>
      <w:rPr>
        <w:rFonts w:ascii="Wingdings" w:hAnsi="Wingdings"/>
      </w:rPr>
    </w:lvl>
    <w:lvl w:ilvl="6" w:tplc="B2D650A8">
      <w:start w:val="1"/>
      <w:numFmt w:val="bullet"/>
      <w:lvlText w:val=""/>
      <w:lvlJc w:val="left"/>
      <w:pPr>
        <w:tabs>
          <w:tab w:val="num" w:pos="5040"/>
        </w:tabs>
        <w:ind w:left="5040" w:hanging="360"/>
      </w:pPr>
      <w:rPr>
        <w:rFonts w:ascii="Symbol" w:hAnsi="Symbol"/>
      </w:rPr>
    </w:lvl>
    <w:lvl w:ilvl="7" w:tplc="9702AAAA">
      <w:start w:val="1"/>
      <w:numFmt w:val="bullet"/>
      <w:lvlText w:val="o"/>
      <w:lvlJc w:val="left"/>
      <w:pPr>
        <w:tabs>
          <w:tab w:val="num" w:pos="5760"/>
        </w:tabs>
        <w:ind w:left="5760" w:hanging="360"/>
      </w:pPr>
      <w:rPr>
        <w:rFonts w:ascii="Courier New" w:hAnsi="Courier New"/>
      </w:rPr>
    </w:lvl>
    <w:lvl w:ilvl="8" w:tplc="C74E89C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F51A9EA6">
      <w:start w:val="1"/>
      <w:numFmt w:val="bullet"/>
      <w:lvlText w:val="•"/>
      <w:lvlJc w:val="left"/>
      <w:pPr>
        <w:tabs>
          <w:tab w:val="num" w:pos="720"/>
        </w:tabs>
        <w:ind w:left="720" w:hanging="360"/>
      </w:pPr>
      <w:rPr>
        <w:rFonts w:ascii="Times New Roman" w:eastAsia="Times New Roman" w:hAnsi="Times New Roman" w:cs="Times New Roman"/>
        <w:b w:val="0"/>
        <w:i w:val="0"/>
        <w:strike w:val="0"/>
        <w:sz w:val="24"/>
      </w:rPr>
    </w:lvl>
    <w:lvl w:ilvl="1" w:tplc="BABE8144">
      <w:start w:val="1"/>
      <w:numFmt w:val="bullet"/>
      <w:lvlText w:val="o"/>
      <w:lvlJc w:val="left"/>
      <w:pPr>
        <w:tabs>
          <w:tab w:val="num" w:pos="1440"/>
        </w:tabs>
        <w:ind w:left="1440" w:hanging="360"/>
      </w:pPr>
      <w:rPr>
        <w:rFonts w:ascii="Courier New" w:hAnsi="Courier New"/>
      </w:rPr>
    </w:lvl>
    <w:lvl w:ilvl="2" w:tplc="8CF03CC6">
      <w:start w:val="1"/>
      <w:numFmt w:val="bullet"/>
      <w:lvlText w:val=""/>
      <w:lvlJc w:val="left"/>
      <w:pPr>
        <w:tabs>
          <w:tab w:val="num" w:pos="2160"/>
        </w:tabs>
        <w:ind w:left="2160" w:hanging="360"/>
      </w:pPr>
      <w:rPr>
        <w:rFonts w:ascii="Wingdings" w:hAnsi="Wingdings"/>
      </w:rPr>
    </w:lvl>
    <w:lvl w:ilvl="3" w:tplc="E0DA90BA">
      <w:start w:val="1"/>
      <w:numFmt w:val="bullet"/>
      <w:lvlText w:val=""/>
      <w:lvlJc w:val="left"/>
      <w:pPr>
        <w:tabs>
          <w:tab w:val="num" w:pos="2880"/>
        </w:tabs>
        <w:ind w:left="2880" w:hanging="360"/>
      </w:pPr>
      <w:rPr>
        <w:rFonts w:ascii="Symbol" w:hAnsi="Symbol"/>
      </w:rPr>
    </w:lvl>
    <w:lvl w:ilvl="4" w:tplc="C3C266BA">
      <w:start w:val="1"/>
      <w:numFmt w:val="bullet"/>
      <w:lvlText w:val="o"/>
      <w:lvlJc w:val="left"/>
      <w:pPr>
        <w:tabs>
          <w:tab w:val="num" w:pos="3600"/>
        </w:tabs>
        <w:ind w:left="3600" w:hanging="360"/>
      </w:pPr>
      <w:rPr>
        <w:rFonts w:ascii="Courier New" w:hAnsi="Courier New"/>
      </w:rPr>
    </w:lvl>
    <w:lvl w:ilvl="5" w:tplc="8B4A06DE">
      <w:start w:val="1"/>
      <w:numFmt w:val="bullet"/>
      <w:lvlText w:val=""/>
      <w:lvlJc w:val="left"/>
      <w:pPr>
        <w:tabs>
          <w:tab w:val="num" w:pos="4320"/>
        </w:tabs>
        <w:ind w:left="4320" w:hanging="360"/>
      </w:pPr>
      <w:rPr>
        <w:rFonts w:ascii="Wingdings" w:hAnsi="Wingdings"/>
      </w:rPr>
    </w:lvl>
    <w:lvl w:ilvl="6" w:tplc="DB8E8128">
      <w:start w:val="1"/>
      <w:numFmt w:val="bullet"/>
      <w:lvlText w:val=""/>
      <w:lvlJc w:val="left"/>
      <w:pPr>
        <w:tabs>
          <w:tab w:val="num" w:pos="5040"/>
        </w:tabs>
        <w:ind w:left="5040" w:hanging="360"/>
      </w:pPr>
      <w:rPr>
        <w:rFonts w:ascii="Symbol" w:hAnsi="Symbol"/>
      </w:rPr>
    </w:lvl>
    <w:lvl w:ilvl="7" w:tplc="527A79A2">
      <w:start w:val="1"/>
      <w:numFmt w:val="bullet"/>
      <w:lvlText w:val="o"/>
      <w:lvlJc w:val="left"/>
      <w:pPr>
        <w:tabs>
          <w:tab w:val="num" w:pos="5760"/>
        </w:tabs>
        <w:ind w:left="5760" w:hanging="360"/>
      </w:pPr>
      <w:rPr>
        <w:rFonts w:ascii="Courier New" w:hAnsi="Courier New"/>
      </w:rPr>
    </w:lvl>
    <w:lvl w:ilvl="8" w:tplc="D16E15A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F63E3C16">
      <w:start w:val="1"/>
      <w:numFmt w:val="bullet"/>
      <w:lvlText w:val="•"/>
      <w:lvlJc w:val="left"/>
      <w:pPr>
        <w:tabs>
          <w:tab w:val="num" w:pos="720"/>
        </w:tabs>
        <w:ind w:left="720" w:hanging="360"/>
      </w:pPr>
      <w:rPr>
        <w:rFonts w:ascii="Times New Roman" w:eastAsia="Times New Roman" w:hAnsi="Times New Roman" w:cs="Times New Roman"/>
        <w:b w:val="0"/>
        <w:i w:val="0"/>
        <w:strike w:val="0"/>
        <w:sz w:val="24"/>
      </w:rPr>
    </w:lvl>
    <w:lvl w:ilvl="1" w:tplc="949EEFF6">
      <w:start w:val="1"/>
      <w:numFmt w:val="bullet"/>
      <w:lvlText w:val="o"/>
      <w:lvlJc w:val="left"/>
      <w:pPr>
        <w:tabs>
          <w:tab w:val="num" w:pos="1440"/>
        </w:tabs>
        <w:ind w:left="1440" w:hanging="360"/>
      </w:pPr>
      <w:rPr>
        <w:rFonts w:ascii="Courier New" w:hAnsi="Courier New"/>
      </w:rPr>
    </w:lvl>
    <w:lvl w:ilvl="2" w:tplc="79FE79B8">
      <w:start w:val="1"/>
      <w:numFmt w:val="bullet"/>
      <w:lvlText w:val=""/>
      <w:lvlJc w:val="left"/>
      <w:pPr>
        <w:tabs>
          <w:tab w:val="num" w:pos="2160"/>
        </w:tabs>
        <w:ind w:left="2160" w:hanging="360"/>
      </w:pPr>
      <w:rPr>
        <w:rFonts w:ascii="Wingdings" w:hAnsi="Wingdings"/>
      </w:rPr>
    </w:lvl>
    <w:lvl w:ilvl="3" w:tplc="E39EACCA">
      <w:start w:val="1"/>
      <w:numFmt w:val="bullet"/>
      <w:lvlText w:val=""/>
      <w:lvlJc w:val="left"/>
      <w:pPr>
        <w:tabs>
          <w:tab w:val="num" w:pos="2880"/>
        </w:tabs>
        <w:ind w:left="2880" w:hanging="360"/>
      </w:pPr>
      <w:rPr>
        <w:rFonts w:ascii="Symbol" w:hAnsi="Symbol"/>
      </w:rPr>
    </w:lvl>
    <w:lvl w:ilvl="4" w:tplc="61E8758E">
      <w:start w:val="1"/>
      <w:numFmt w:val="bullet"/>
      <w:lvlText w:val="o"/>
      <w:lvlJc w:val="left"/>
      <w:pPr>
        <w:tabs>
          <w:tab w:val="num" w:pos="3600"/>
        </w:tabs>
        <w:ind w:left="3600" w:hanging="360"/>
      </w:pPr>
      <w:rPr>
        <w:rFonts w:ascii="Courier New" w:hAnsi="Courier New"/>
      </w:rPr>
    </w:lvl>
    <w:lvl w:ilvl="5" w:tplc="34DAEF62">
      <w:start w:val="1"/>
      <w:numFmt w:val="bullet"/>
      <w:lvlText w:val=""/>
      <w:lvlJc w:val="left"/>
      <w:pPr>
        <w:tabs>
          <w:tab w:val="num" w:pos="4320"/>
        </w:tabs>
        <w:ind w:left="4320" w:hanging="360"/>
      </w:pPr>
      <w:rPr>
        <w:rFonts w:ascii="Wingdings" w:hAnsi="Wingdings"/>
      </w:rPr>
    </w:lvl>
    <w:lvl w:ilvl="6" w:tplc="0C5EB536">
      <w:start w:val="1"/>
      <w:numFmt w:val="bullet"/>
      <w:lvlText w:val=""/>
      <w:lvlJc w:val="left"/>
      <w:pPr>
        <w:tabs>
          <w:tab w:val="num" w:pos="5040"/>
        </w:tabs>
        <w:ind w:left="5040" w:hanging="360"/>
      </w:pPr>
      <w:rPr>
        <w:rFonts w:ascii="Symbol" w:hAnsi="Symbol"/>
      </w:rPr>
    </w:lvl>
    <w:lvl w:ilvl="7" w:tplc="65FE5538">
      <w:start w:val="1"/>
      <w:numFmt w:val="bullet"/>
      <w:lvlText w:val="o"/>
      <w:lvlJc w:val="left"/>
      <w:pPr>
        <w:tabs>
          <w:tab w:val="num" w:pos="5760"/>
        </w:tabs>
        <w:ind w:left="5760" w:hanging="360"/>
      </w:pPr>
      <w:rPr>
        <w:rFonts w:ascii="Courier New" w:hAnsi="Courier New"/>
      </w:rPr>
    </w:lvl>
    <w:lvl w:ilvl="8" w:tplc="CAB28BA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6EB8FB5C">
      <w:start w:val="1"/>
      <w:numFmt w:val="bullet"/>
      <w:lvlText w:val="•"/>
      <w:lvlJc w:val="left"/>
      <w:pPr>
        <w:tabs>
          <w:tab w:val="num" w:pos="720"/>
        </w:tabs>
        <w:ind w:left="720" w:hanging="360"/>
      </w:pPr>
      <w:rPr>
        <w:rFonts w:ascii="Times New Roman" w:eastAsia="Times New Roman" w:hAnsi="Times New Roman" w:cs="Times New Roman"/>
        <w:b w:val="0"/>
        <w:i w:val="0"/>
        <w:strike w:val="0"/>
        <w:sz w:val="24"/>
      </w:rPr>
    </w:lvl>
    <w:lvl w:ilvl="1" w:tplc="9A5C3010">
      <w:start w:val="1"/>
      <w:numFmt w:val="bullet"/>
      <w:lvlText w:val="o"/>
      <w:lvlJc w:val="left"/>
      <w:pPr>
        <w:tabs>
          <w:tab w:val="num" w:pos="1440"/>
        </w:tabs>
        <w:ind w:left="1440" w:hanging="360"/>
      </w:pPr>
      <w:rPr>
        <w:rFonts w:ascii="Courier New" w:hAnsi="Courier New"/>
      </w:rPr>
    </w:lvl>
    <w:lvl w:ilvl="2" w:tplc="3F224DB2">
      <w:start w:val="1"/>
      <w:numFmt w:val="bullet"/>
      <w:lvlText w:val=""/>
      <w:lvlJc w:val="left"/>
      <w:pPr>
        <w:tabs>
          <w:tab w:val="num" w:pos="2160"/>
        </w:tabs>
        <w:ind w:left="2160" w:hanging="360"/>
      </w:pPr>
      <w:rPr>
        <w:rFonts w:ascii="Wingdings" w:hAnsi="Wingdings"/>
      </w:rPr>
    </w:lvl>
    <w:lvl w:ilvl="3" w:tplc="0060C468">
      <w:start w:val="1"/>
      <w:numFmt w:val="bullet"/>
      <w:lvlText w:val=""/>
      <w:lvlJc w:val="left"/>
      <w:pPr>
        <w:tabs>
          <w:tab w:val="num" w:pos="2880"/>
        </w:tabs>
        <w:ind w:left="2880" w:hanging="360"/>
      </w:pPr>
      <w:rPr>
        <w:rFonts w:ascii="Symbol" w:hAnsi="Symbol"/>
      </w:rPr>
    </w:lvl>
    <w:lvl w:ilvl="4" w:tplc="72B4F73A">
      <w:start w:val="1"/>
      <w:numFmt w:val="bullet"/>
      <w:lvlText w:val="o"/>
      <w:lvlJc w:val="left"/>
      <w:pPr>
        <w:tabs>
          <w:tab w:val="num" w:pos="3600"/>
        </w:tabs>
        <w:ind w:left="3600" w:hanging="360"/>
      </w:pPr>
      <w:rPr>
        <w:rFonts w:ascii="Courier New" w:hAnsi="Courier New"/>
      </w:rPr>
    </w:lvl>
    <w:lvl w:ilvl="5" w:tplc="00B4689A">
      <w:start w:val="1"/>
      <w:numFmt w:val="bullet"/>
      <w:lvlText w:val=""/>
      <w:lvlJc w:val="left"/>
      <w:pPr>
        <w:tabs>
          <w:tab w:val="num" w:pos="4320"/>
        </w:tabs>
        <w:ind w:left="4320" w:hanging="360"/>
      </w:pPr>
      <w:rPr>
        <w:rFonts w:ascii="Wingdings" w:hAnsi="Wingdings"/>
      </w:rPr>
    </w:lvl>
    <w:lvl w:ilvl="6" w:tplc="6B0401D8">
      <w:start w:val="1"/>
      <w:numFmt w:val="bullet"/>
      <w:lvlText w:val=""/>
      <w:lvlJc w:val="left"/>
      <w:pPr>
        <w:tabs>
          <w:tab w:val="num" w:pos="5040"/>
        </w:tabs>
        <w:ind w:left="5040" w:hanging="360"/>
      </w:pPr>
      <w:rPr>
        <w:rFonts w:ascii="Symbol" w:hAnsi="Symbol"/>
      </w:rPr>
    </w:lvl>
    <w:lvl w:ilvl="7" w:tplc="077ECBCE">
      <w:start w:val="1"/>
      <w:numFmt w:val="bullet"/>
      <w:lvlText w:val="o"/>
      <w:lvlJc w:val="left"/>
      <w:pPr>
        <w:tabs>
          <w:tab w:val="num" w:pos="5760"/>
        </w:tabs>
        <w:ind w:left="5760" w:hanging="360"/>
      </w:pPr>
      <w:rPr>
        <w:rFonts w:ascii="Courier New" w:hAnsi="Courier New"/>
      </w:rPr>
    </w:lvl>
    <w:lvl w:ilvl="8" w:tplc="413287C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B576E966">
      <w:start w:val="1"/>
      <w:numFmt w:val="bullet"/>
      <w:lvlText w:val="•"/>
      <w:lvlJc w:val="left"/>
      <w:pPr>
        <w:tabs>
          <w:tab w:val="num" w:pos="720"/>
        </w:tabs>
        <w:ind w:left="720" w:hanging="360"/>
      </w:pPr>
      <w:rPr>
        <w:rFonts w:ascii="Times New Roman" w:eastAsia="Times New Roman" w:hAnsi="Times New Roman" w:cs="Times New Roman"/>
        <w:b/>
        <w:i w:val="0"/>
        <w:strike w:val="0"/>
        <w:sz w:val="24"/>
      </w:rPr>
    </w:lvl>
    <w:lvl w:ilvl="1" w:tplc="8050077C">
      <w:start w:val="1"/>
      <w:numFmt w:val="bullet"/>
      <w:lvlText w:val="o"/>
      <w:lvlJc w:val="left"/>
      <w:pPr>
        <w:tabs>
          <w:tab w:val="num" w:pos="1440"/>
        </w:tabs>
        <w:ind w:left="1440" w:hanging="360"/>
      </w:pPr>
      <w:rPr>
        <w:rFonts w:ascii="Courier New" w:hAnsi="Courier New"/>
      </w:rPr>
    </w:lvl>
    <w:lvl w:ilvl="2" w:tplc="86225210">
      <w:start w:val="1"/>
      <w:numFmt w:val="bullet"/>
      <w:lvlText w:val=""/>
      <w:lvlJc w:val="left"/>
      <w:pPr>
        <w:tabs>
          <w:tab w:val="num" w:pos="2160"/>
        </w:tabs>
        <w:ind w:left="2160" w:hanging="360"/>
      </w:pPr>
      <w:rPr>
        <w:rFonts w:ascii="Wingdings" w:hAnsi="Wingdings"/>
      </w:rPr>
    </w:lvl>
    <w:lvl w:ilvl="3" w:tplc="8C2C0D78">
      <w:start w:val="1"/>
      <w:numFmt w:val="bullet"/>
      <w:lvlText w:val=""/>
      <w:lvlJc w:val="left"/>
      <w:pPr>
        <w:tabs>
          <w:tab w:val="num" w:pos="2880"/>
        </w:tabs>
        <w:ind w:left="2880" w:hanging="360"/>
      </w:pPr>
      <w:rPr>
        <w:rFonts w:ascii="Symbol" w:hAnsi="Symbol"/>
      </w:rPr>
    </w:lvl>
    <w:lvl w:ilvl="4" w:tplc="284E9BBC">
      <w:start w:val="1"/>
      <w:numFmt w:val="bullet"/>
      <w:lvlText w:val="o"/>
      <w:lvlJc w:val="left"/>
      <w:pPr>
        <w:tabs>
          <w:tab w:val="num" w:pos="3600"/>
        </w:tabs>
        <w:ind w:left="3600" w:hanging="360"/>
      </w:pPr>
      <w:rPr>
        <w:rFonts w:ascii="Courier New" w:hAnsi="Courier New"/>
      </w:rPr>
    </w:lvl>
    <w:lvl w:ilvl="5" w:tplc="EC7277CC">
      <w:start w:val="1"/>
      <w:numFmt w:val="bullet"/>
      <w:lvlText w:val=""/>
      <w:lvlJc w:val="left"/>
      <w:pPr>
        <w:tabs>
          <w:tab w:val="num" w:pos="4320"/>
        </w:tabs>
        <w:ind w:left="4320" w:hanging="360"/>
      </w:pPr>
      <w:rPr>
        <w:rFonts w:ascii="Wingdings" w:hAnsi="Wingdings"/>
      </w:rPr>
    </w:lvl>
    <w:lvl w:ilvl="6" w:tplc="5A9ED9F0">
      <w:start w:val="1"/>
      <w:numFmt w:val="bullet"/>
      <w:lvlText w:val=""/>
      <w:lvlJc w:val="left"/>
      <w:pPr>
        <w:tabs>
          <w:tab w:val="num" w:pos="5040"/>
        </w:tabs>
        <w:ind w:left="5040" w:hanging="360"/>
      </w:pPr>
      <w:rPr>
        <w:rFonts w:ascii="Symbol" w:hAnsi="Symbol"/>
      </w:rPr>
    </w:lvl>
    <w:lvl w:ilvl="7" w:tplc="6CBE2E30">
      <w:start w:val="1"/>
      <w:numFmt w:val="bullet"/>
      <w:lvlText w:val="o"/>
      <w:lvlJc w:val="left"/>
      <w:pPr>
        <w:tabs>
          <w:tab w:val="num" w:pos="5760"/>
        </w:tabs>
        <w:ind w:left="5760" w:hanging="360"/>
      </w:pPr>
      <w:rPr>
        <w:rFonts w:ascii="Courier New" w:hAnsi="Courier New"/>
      </w:rPr>
    </w:lvl>
    <w:lvl w:ilvl="8" w:tplc="2C4CAF9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9244CF0A">
      <w:start w:val="1"/>
      <w:numFmt w:val="bullet"/>
      <w:lvlText w:val="•"/>
      <w:lvlJc w:val="left"/>
      <w:pPr>
        <w:tabs>
          <w:tab w:val="num" w:pos="720"/>
        </w:tabs>
        <w:ind w:left="720" w:hanging="360"/>
      </w:pPr>
      <w:rPr>
        <w:rFonts w:ascii="Times New Roman" w:eastAsia="Times New Roman" w:hAnsi="Times New Roman" w:cs="Times New Roman"/>
        <w:b w:val="0"/>
        <w:i w:val="0"/>
        <w:strike w:val="0"/>
        <w:sz w:val="24"/>
      </w:rPr>
    </w:lvl>
    <w:lvl w:ilvl="1" w:tplc="55ECA106">
      <w:start w:val="1"/>
      <w:numFmt w:val="bullet"/>
      <w:lvlText w:val="o"/>
      <w:lvlJc w:val="left"/>
      <w:pPr>
        <w:tabs>
          <w:tab w:val="num" w:pos="1440"/>
        </w:tabs>
        <w:ind w:left="1440" w:hanging="360"/>
      </w:pPr>
      <w:rPr>
        <w:rFonts w:ascii="Courier New" w:hAnsi="Courier New"/>
      </w:rPr>
    </w:lvl>
    <w:lvl w:ilvl="2" w:tplc="14A8DF5A">
      <w:start w:val="1"/>
      <w:numFmt w:val="bullet"/>
      <w:lvlText w:val=""/>
      <w:lvlJc w:val="left"/>
      <w:pPr>
        <w:tabs>
          <w:tab w:val="num" w:pos="2160"/>
        </w:tabs>
        <w:ind w:left="2160" w:hanging="360"/>
      </w:pPr>
      <w:rPr>
        <w:rFonts w:ascii="Wingdings" w:hAnsi="Wingdings"/>
      </w:rPr>
    </w:lvl>
    <w:lvl w:ilvl="3" w:tplc="36B04D0E">
      <w:start w:val="1"/>
      <w:numFmt w:val="bullet"/>
      <w:lvlText w:val=""/>
      <w:lvlJc w:val="left"/>
      <w:pPr>
        <w:tabs>
          <w:tab w:val="num" w:pos="2880"/>
        </w:tabs>
        <w:ind w:left="2880" w:hanging="360"/>
      </w:pPr>
      <w:rPr>
        <w:rFonts w:ascii="Symbol" w:hAnsi="Symbol"/>
      </w:rPr>
    </w:lvl>
    <w:lvl w:ilvl="4" w:tplc="74A8AB9A">
      <w:start w:val="1"/>
      <w:numFmt w:val="bullet"/>
      <w:lvlText w:val="o"/>
      <w:lvlJc w:val="left"/>
      <w:pPr>
        <w:tabs>
          <w:tab w:val="num" w:pos="3600"/>
        </w:tabs>
        <w:ind w:left="3600" w:hanging="360"/>
      </w:pPr>
      <w:rPr>
        <w:rFonts w:ascii="Courier New" w:hAnsi="Courier New"/>
      </w:rPr>
    </w:lvl>
    <w:lvl w:ilvl="5" w:tplc="E01C2746">
      <w:start w:val="1"/>
      <w:numFmt w:val="bullet"/>
      <w:lvlText w:val=""/>
      <w:lvlJc w:val="left"/>
      <w:pPr>
        <w:tabs>
          <w:tab w:val="num" w:pos="4320"/>
        </w:tabs>
        <w:ind w:left="4320" w:hanging="360"/>
      </w:pPr>
      <w:rPr>
        <w:rFonts w:ascii="Wingdings" w:hAnsi="Wingdings"/>
      </w:rPr>
    </w:lvl>
    <w:lvl w:ilvl="6" w:tplc="EC807C56">
      <w:start w:val="1"/>
      <w:numFmt w:val="bullet"/>
      <w:lvlText w:val=""/>
      <w:lvlJc w:val="left"/>
      <w:pPr>
        <w:tabs>
          <w:tab w:val="num" w:pos="5040"/>
        </w:tabs>
        <w:ind w:left="5040" w:hanging="360"/>
      </w:pPr>
      <w:rPr>
        <w:rFonts w:ascii="Symbol" w:hAnsi="Symbol"/>
      </w:rPr>
    </w:lvl>
    <w:lvl w:ilvl="7" w:tplc="6FB88984">
      <w:start w:val="1"/>
      <w:numFmt w:val="bullet"/>
      <w:lvlText w:val="o"/>
      <w:lvlJc w:val="left"/>
      <w:pPr>
        <w:tabs>
          <w:tab w:val="num" w:pos="5760"/>
        </w:tabs>
        <w:ind w:left="5760" w:hanging="360"/>
      </w:pPr>
      <w:rPr>
        <w:rFonts w:ascii="Courier New" w:hAnsi="Courier New"/>
      </w:rPr>
    </w:lvl>
    <w:lvl w:ilvl="8" w:tplc="F6A6C092">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D514FC1E">
      <w:start w:val="1"/>
      <w:numFmt w:val="bullet"/>
      <w:lvlText w:val="•"/>
      <w:lvlJc w:val="left"/>
      <w:pPr>
        <w:tabs>
          <w:tab w:val="num" w:pos="720"/>
        </w:tabs>
        <w:ind w:left="720" w:hanging="360"/>
      </w:pPr>
      <w:rPr>
        <w:rFonts w:ascii="Arial" w:eastAsia="Arial" w:hAnsi="Arial" w:cs="Arial"/>
        <w:b w:val="0"/>
        <w:i w:val="0"/>
        <w:strike w:val="0"/>
        <w:sz w:val="22"/>
      </w:rPr>
    </w:lvl>
    <w:lvl w:ilvl="1" w:tplc="91E6AB96">
      <w:start w:val="1"/>
      <w:numFmt w:val="bullet"/>
      <w:lvlText w:val="o"/>
      <w:lvlJc w:val="left"/>
      <w:pPr>
        <w:tabs>
          <w:tab w:val="num" w:pos="1440"/>
        </w:tabs>
        <w:ind w:left="1440" w:hanging="360"/>
      </w:pPr>
      <w:rPr>
        <w:rFonts w:ascii="Courier New" w:hAnsi="Courier New"/>
      </w:rPr>
    </w:lvl>
    <w:lvl w:ilvl="2" w:tplc="11A6801E">
      <w:start w:val="1"/>
      <w:numFmt w:val="bullet"/>
      <w:lvlText w:val=""/>
      <w:lvlJc w:val="left"/>
      <w:pPr>
        <w:tabs>
          <w:tab w:val="num" w:pos="2160"/>
        </w:tabs>
        <w:ind w:left="2160" w:hanging="360"/>
      </w:pPr>
      <w:rPr>
        <w:rFonts w:ascii="Wingdings" w:hAnsi="Wingdings"/>
      </w:rPr>
    </w:lvl>
    <w:lvl w:ilvl="3" w:tplc="74CE5CD4">
      <w:start w:val="1"/>
      <w:numFmt w:val="bullet"/>
      <w:lvlText w:val=""/>
      <w:lvlJc w:val="left"/>
      <w:pPr>
        <w:tabs>
          <w:tab w:val="num" w:pos="2880"/>
        </w:tabs>
        <w:ind w:left="2880" w:hanging="360"/>
      </w:pPr>
      <w:rPr>
        <w:rFonts w:ascii="Symbol" w:hAnsi="Symbol"/>
      </w:rPr>
    </w:lvl>
    <w:lvl w:ilvl="4" w:tplc="C53879F6">
      <w:start w:val="1"/>
      <w:numFmt w:val="bullet"/>
      <w:lvlText w:val="o"/>
      <w:lvlJc w:val="left"/>
      <w:pPr>
        <w:tabs>
          <w:tab w:val="num" w:pos="3600"/>
        </w:tabs>
        <w:ind w:left="3600" w:hanging="360"/>
      </w:pPr>
      <w:rPr>
        <w:rFonts w:ascii="Courier New" w:hAnsi="Courier New"/>
      </w:rPr>
    </w:lvl>
    <w:lvl w:ilvl="5" w:tplc="371CA176">
      <w:start w:val="1"/>
      <w:numFmt w:val="bullet"/>
      <w:lvlText w:val=""/>
      <w:lvlJc w:val="left"/>
      <w:pPr>
        <w:tabs>
          <w:tab w:val="num" w:pos="4320"/>
        </w:tabs>
        <w:ind w:left="4320" w:hanging="360"/>
      </w:pPr>
      <w:rPr>
        <w:rFonts w:ascii="Wingdings" w:hAnsi="Wingdings"/>
      </w:rPr>
    </w:lvl>
    <w:lvl w:ilvl="6" w:tplc="B9F2F8BC">
      <w:start w:val="1"/>
      <w:numFmt w:val="bullet"/>
      <w:lvlText w:val=""/>
      <w:lvlJc w:val="left"/>
      <w:pPr>
        <w:tabs>
          <w:tab w:val="num" w:pos="5040"/>
        </w:tabs>
        <w:ind w:left="5040" w:hanging="360"/>
      </w:pPr>
      <w:rPr>
        <w:rFonts w:ascii="Symbol" w:hAnsi="Symbol"/>
      </w:rPr>
    </w:lvl>
    <w:lvl w:ilvl="7" w:tplc="E58018EA">
      <w:start w:val="1"/>
      <w:numFmt w:val="bullet"/>
      <w:lvlText w:val="o"/>
      <w:lvlJc w:val="left"/>
      <w:pPr>
        <w:tabs>
          <w:tab w:val="num" w:pos="5760"/>
        </w:tabs>
        <w:ind w:left="5760" w:hanging="360"/>
      </w:pPr>
      <w:rPr>
        <w:rFonts w:ascii="Courier New" w:hAnsi="Courier New"/>
      </w:rPr>
    </w:lvl>
    <w:lvl w:ilvl="8" w:tplc="2E4444E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A6F4602C">
      <w:start w:val="1"/>
      <w:numFmt w:val="bullet"/>
      <w:lvlText w:val="•"/>
      <w:lvlJc w:val="left"/>
      <w:pPr>
        <w:tabs>
          <w:tab w:val="num" w:pos="720"/>
        </w:tabs>
        <w:ind w:left="720" w:hanging="360"/>
      </w:pPr>
      <w:rPr>
        <w:rFonts w:ascii="Arial" w:eastAsia="Arial" w:hAnsi="Arial" w:cs="Arial"/>
        <w:b w:val="0"/>
        <w:i w:val="0"/>
        <w:strike w:val="0"/>
        <w:sz w:val="24"/>
      </w:rPr>
    </w:lvl>
    <w:lvl w:ilvl="1" w:tplc="0562B9B6">
      <w:start w:val="1"/>
      <w:numFmt w:val="bullet"/>
      <w:lvlText w:val="o"/>
      <w:lvlJc w:val="left"/>
      <w:pPr>
        <w:tabs>
          <w:tab w:val="num" w:pos="1440"/>
        </w:tabs>
        <w:ind w:left="1440" w:hanging="360"/>
      </w:pPr>
      <w:rPr>
        <w:rFonts w:ascii="Courier New" w:hAnsi="Courier New"/>
      </w:rPr>
    </w:lvl>
    <w:lvl w:ilvl="2" w:tplc="12EAF9E8">
      <w:start w:val="1"/>
      <w:numFmt w:val="bullet"/>
      <w:lvlText w:val=""/>
      <w:lvlJc w:val="left"/>
      <w:pPr>
        <w:tabs>
          <w:tab w:val="num" w:pos="2160"/>
        </w:tabs>
        <w:ind w:left="2160" w:hanging="360"/>
      </w:pPr>
      <w:rPr>
        <w:rFonts w:ascii="Wingdings" w:hAnsi="Wingdings"/>
      </w:rPr>
    </w:lvl>
    <w:lvl w:ilvl="3" w:tplc="06040372">
      <w:start w:val="1"/>
      <w:numFmt w:val="bullet"/>
      <w:lvlText w:val=""/>
      <w:lvlJc w:val="left"/>
      <w:pPr>
        <w:tabs>
          <w:tab w:val="num" w:pos="2880"/>
        </w:tabs>
        <w:ind w:left="2880" w:hanging="360"/>
      </w:pPr>
      <w:rPr>
        <w:rFonts w:ascii="Symbol" w:hAnsi="Symbol"/>
      </w:rPr>
    </w:lvl>
    <w:lvl w:ilvl="4" w:tplc="711A92BC">
      <w:start w:val="1"/>
      <w:numFmt w:val="bullet"/>
      <w:lvlText w:val="o"/>
      <w:lvlJc w:val="left"/>
      <w:pPr>
        <w:tabs>
          <w:tab w:val="num" w:pos="3600"/>
        </w:tabs>
        <w:ind w:left="3600" w:hanging="360"/>
      </w:pPr>
      <w:rPr>
        <w:rFonts w:ascii="Courier New" w:hAnsi="Courier New"/>
      </w:rPr>
    </w:lvl>
    <w:lvl w:ilvl="5" w:tplc="B98CA6BA">
      <w:start w:val="1"/>
      <w:numFmt w:val="bullet"/>
      <w:lvlText w:val=""/>
      <w:lvlJc w:val="left"/>
      <w:pPr>
        <w:tabs>
          <w:tab w:val="num" w:pos="4320"/>
        </w:tabs>
        <w:ind w:left="4320" w:hanging="360"/>
      </w:pPr>
      <w:rPr>
        <w:rFonts w:ascii="Wingdings" w:hAnsi="Wingdings"/>
      </w:rPr>
    </w:lvl>
    <w:lvl w:ilvl="6" w:tplc="99888E52">
      <w:start w:val="1"/>
      <w:numFmt w:val="bullet"/>
      <w:lvlText w:val=""/>
      <w:lvlJc w:val="left"/>
      <w:pPr>
        <w:tabs>
          <w:tab w:val="num" w:pos="5040"/>
        </w:tabs>
        <w:ind w:left="5040" w:hanging="360"/>
      </w:pPr>
      <w:rPr>
        <w:rFonts w:ascii="Symbol" w:hAnsi="Symbol"/>
      </w:rPr>
    </w:lvl>
    <w:lvl w:ilvl="7" w:tplc="5AFE2FC4">
      <w:start w:val="1"/>
      <w:numFmt w:val="bullet"/>
      <w:lvlText w:val="o"/>
      <w:lvlJc w:val="left"/>
      <w:pPr>
        <w:tabs>
          <w:tab w:val="num" w:pos="5760"/>
        </w:tabs>
        <w:ind w:left="5760" w:hanging="360"/>
      </w:pPr>
      <w:rPr>
        <w:rFonts w:ascii="Courier New" w:hAnsi="Courier New"/>
      </w:rPr>
    </w:lvl>
    <w:lvl w:ilvl="8" w:tplc="B6BE0ED0">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67E6416C">
      <w:start w:val="1"/>
      <w:numFmt w:val="bullet"/>
      <w:lvlText w:val="•"/>
      <w:lvlJc w:val="left"/>
      <w:pPr>
        <w:tabs>
          <w:tab w:val="num" w:pos="720"/>
        </w:tabs>
        <w:ind w:left="720" w:hanging="360"/>
      </w:pPr>
      <w:rPr>
        <w:rFonts w:ascii="Times New Roman" w:eastAsia="Times New Roman" w:hAnsi="Times New Roman" w:cs="Times New Roman"/>
        <w:b w:val="0"/>
        <w:i w:val="0"/>
        <w:strike w:val="0"/>
        <w:sz w:val="24"/>
      </w:rPr>
    </w:lvl>
    <w:lvl w:ilvl="1" w:tplc="2DA6BDA4">
      <w:start w:val="1"/>
      <w:numFmt w:val="bullet"/>
      <w:lvlText w:val="o"/>
      <w:lvlJc w:val="left"/>
      <w:pPr>
        <w:tabs>
          <w:tab w:val="num" w:pos="1440"/>
        </w:tabs>
        <w:ind w:left="1440" w:hanging="360"/>
      </w:pPr>
      <w:rPr>
        <w:rFonts w:ascii="Courier New" w:hAnsi="Courier New"/>
      </w:rPr>
    </w:lvl>
    <w:lvl w:ilvl="2" w:tplc="F3EE7174">
      <w:start w:val="1"/>
      <w:numFmt w:val="bullet"/>
      <w:lvlText w:val=""/>
      <w:lvlJc w:val="left"/>
      <w:pPr>
        <w:tabs>
          <w:tab w:val="num" w:pos="2160"/>
        </w:tabs>
        <w:ind w:left="2160" w:hanging="360"/>
      </w:pPr>
      <w:rPr>
        <w:rFonts w:ascii="Wingdings" w:hAnsi="Wingdings"/>
      </w:rPr>
    </w:lvl>
    <w:lvl w:ilvl="3" w:tplc="D20CADA4">
      <w:start w:val="1"/>
      <w:numFmt w:val="bullet"/>
      <w:lvlText w:val=""/>
      <w:lvlJc w:val="left"/>
      <w:pPr>
        <w:tabs>
          <w:tab w:val="num" w:pos="2880"/>
        </w:tabs>
        <w:ind w:left="2880" w:hanging="360"/>
      </w:pPr>
      <w:rPr>
        <w:rFonts w:ascii="Symbol" w:hAnsi="Symbol"/>
      </w:rPr>
    </w:lvl>
    <w:lvl w:ilvl="4" w:tplc="E364FFD6">
      <w:start w:val="1"/>
      <w:numFmt w:val="bullet"/>
      <w:lvlText w:val="o"/>
      <w:lvlJc w:val="left"/>
      <w:pPr>
        <w:tabs>
          <w:tab w:val="num" w:pos="3600"/>
        </w:tabs>
        <w:ind w:left="3600" w:hanging="360"/>
      </w:pPr>
      <w:rPr>
        <w:rFonts w:ascii="Courier New" w:hAnsi="Courier New"/>
      </w:rPr>
    </w:lvl>
    <w:lvl w:ilvl="5" w:tplc="378C65D0">
      <w:start w:val="1"/>
      <w:numFmt w:val="bullet"/>
      <w:lvlText w:val=""/>
      <w:lvlJc w:val="left"/>
      <w:pPr>
        <w:tabs>
          <w:tab w:val="num" w:pos="4320"/>
        </w:tabs>
        <w:ind w:left="4320" w:hanging="360"/>
      </w:pPr>
      <w:rPr>
        <w:rFonts w:ascii="Wingdings" w:hAnsi="Wingdings"/>
      </w:rPr>
    </w:lvl>
    <w:lvl w:ilvl="6" w:tplc="5E961C60">
      <w:start w:val="1"/>
      <w:numFmt w:val="bullet"/>
      <w:lvlText w:val=""/>
      <w:lvlJc w:val="left"/>
      <w:pPr>
        <w:tabs>
          <w:tab w:val="num" w:pos="5040"/>
        </w:tabs>
        <w:ind w:left="5040" w:hanging="360"/>
      </w:pPr>
      <w:rPr>
        <w:rFonts w:ascii="Symbol" w:hAnsi="Symbol"/>
      </w:rPr>
    </w:lvl>
    <w:lvl w:ilvl="7" w:tplc="E7286CA2">
      <w:start w:val="1"/>
      <w:numFmt w:val="bullet"/>
      <w:lvlText w:val="o"/>
      <w:lvlJc w:val="left"/>
      <w:pPr>
        <w:tabs>
          <w:tab w:val="num" w:pos="5760"/>
        </w:tabs>
        <w:ind w:left="5760" w:hanging="360"/>
      </w:pPr>
      <w:rPr>
        <w:rFonts w:ascii="Courier New" w:hAnsi="Courier New"/>
      </w:rPr>
    </w:lvl>
    <w:lvl w:ilvl="8" w:tplc="07ACCF1E">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3726265C">
      <w:start w:val="1"/>
      <w:numFmt w:val="bullet"/>
      <w:lvlText w:val="•"/>
      <w:lvlJc w:val="left"/>
      <w:pPr>
        <w:tabs>
          <w:tab w:val="num" w:pos="720"/>
        </w:tabs>
        <w:ind w:left="720" w:hanging="360"/>
      </w:pPr>
      <w:rPr>
        <w:rFonts w:ascii="Arial" w:eastAsia="Arial" w:hAnsi="Arial" w:cs="Arial"/>
        <w:b w:val="0"/>
        <w:i w:val="0"/>
        <w:strike w:val="0"/>
        <w:sz w:val="22"/>
      </w:rPr>
    </w:lvl>
    <w:lvl w:ilvl="1" w:tplc="F5AC6478">
      <w:start w:val="1"/>
      <w:numFmt w:val="bullet"/>
      <w:lvlText w:val="o"/>
      <w:lvlJc w:val="left"/>
      <w:pPr>
        <w:tabs>
          <w:tab w:val="num" w:pos="1440"/>
        </w:tabs>
        <w:ind w:left="1440" w:hanging="360"/>
      </w:pPr>
      <w:rPr>
        <w:rFonts w:ascii="Courier New" w:hAnsi="Courier New"/>
      </w:rPr>
    </w:lvl>
    <w:lvl w:ilvl="2" w:tplc="A5089F22">
      <w:start w:val="1"/>
      <w:numFmt w:val="bullet"/>
      <w:lvlText w:val=""/>
      <w:lvlJc w:val="left"/>
      <w:pPr>
        <w:tabs>
          <w:tab w:val="num" w:pos="2160"/>
        </w:tabs>
        <w:ind w:left="2160" w:hanging="360"/>
      </w:pPr>
      <w:rPr>
        <w:rFonts w:ascii="Wingdings" w:hAnsi="Wingdings"/>
      </w:rPr>
    </w:lvl>
    <w:lvl w:ilvl="3" w:tplc="8B781B0E">
      <w:start w:val="1"/>
      <w:numFmt w:val="bullet"/>
      <w:lvlText w:val=""/>
      <w:lvlJc w:val="left"/>
      <w:pPr>
        <w:tabs>
          <w:tab w:val="num" w:pos="2880"/>
        </w:tabs>
        <w:ind w:left="2880" w:hanging="360"/>
      </w:pPr>
      <w:rPr>
        <w:rFonts w:ascii="Symbol" w:hAnsi="Symbol"/>
      </w:rPr>
    </w:lvl>
    <w:lvl w:ilvl="4" w:tplc="6156B84E">
      <w:start w:val="1"/>
      <w:numFmt w:val="bullet"/>
      <w:lvlText w:val="o"/>
      <w:lvlJc w:val="left"/>
      <w:pPr>
        <w:tabs>
          <w:tab w:val="num" w:pos="3600"/>
        </w:tabs>
        <w:ind w:left="3600" w:hanging="360"/>
      </w:pPr>
      <w:rPr>
        <w:rFonts w:ascii="Courier New" w:hAnsi="Courier New"/>
      </w:rPr>
    </w:lvl>
    <w:lvl w:ilvl="5" w:tplc="2FEE1484">
      <w:start w:val="1"/>
      <w:numFmt w:val="bullet"/>
      <w:lvlText w:val=""/>
      <w:lvlJc w:val="left"/>
      <w:pPr>
        <w:tabs>
          <w:tab w:val="num" w:pos="4320"/>
        </w:tabs>
        <w:ind w:left="4320" w:hanging="360"/>
      </w:pPr>
      <w:rPr>
        <w:rFonts w:ascii="Wingdings" w:hAnsi="Wingdings"/>
      </w:rPr>
    </w:lvl>
    <w:lvl w:ilvl="6" w:tplc="48C6372C">
      <w:start w:val="1"/>
      <w:numFmt w:val="bullet"/>
      <w:lvlText w:val=""/>
      <w:lvlJc w:val="left"/>
      <w:pPr>
        <w:tabs>
          <w:tab w:val="num" w:pos="5040"/>
        </w:tabs>
        <w:ind w:left="5040" w:hanging="360"/>
      </w:pPr>
      <w:rPr>
        <w:rFonts w:ascii="Symbol" w:hAnsi="Symbol"/>
      </w:rPr>
    </w:lvl>
    <w:lvl w:ilvl="7" w:tplc="01F6A2E6">
      <w:start w:val="1"/>
      <w:numFmt w:val="bullet"/>
      <w:lvlText w:val="o"/>
      <w:lvlJc w:val="left"/>
      <w:pPr>
        <w:tabs>
          <w:tab w:val="num" w:pos="5760"/>
        </w:tabs>
        <w:ind w:left="5760" w:hanging="360"/>
      </w:pPr>
      <w:rPr>
        <w:rFonts w:ascii="Courier New" w:hAnsi="Courier New"/>
      </w:rPr>
    </w:lvl>
    <w:lvl w:ilvl="8" w:tplc="F9608B02">
      <w:start w:val="1"/>
      <w:numFmt w:val="bullet"/>
      <w:lvlText w:val=""/>
      <w:lvlJc w:val="left"/>
      <w:pPr>
        <w:tabs>
          <w:tab w:val="num" w:pos="6480"/>
        </w:tabs>
        <w:ind w:left="6480" w:hanging="360"/>
      </w:pPr>
      <w:rPr>
        <w:rFonts w:ascii="Wingdings" w:hAnsi="Wingdings"/>
      </w:rPr>
    </w:lvl>
  </w:abstractNum>
  <w:num w:numId="1" w16cid:durableId="1594781751">
    <w:abstractNumId w:val="0"/>
  </w:num>
  <w:num w:numId="2" w16cid:durableId="2144421120">
    <w:abstractNumId w:val="1"/>
  </w:num>
  <w:num w:numId="3" w16cid:durableId="671299430">
    <w:abstractNumId w:val="2"/>
  </w:num>
  <w:num w:numId="4" w16cid:durableId="1901551954">
    <w:abstractNumId w:val="3"/>
  </w:num>
  <w:num w:numId="5" w16cid:durableId="1515803056">
    <w:abstractNumId w:val="4"/>
  </w:num>
  <w:num w:numId="6" w16cid:durableId="1762338025">
    <w:abstractNumId w:val="5"/>
  </w:num>
  <w:num w:numId="7" w16cid:durableId="808087762">
    <w:abstractNumId w:val="6"/>
  </w:num>
  <w:num w:numId="8" w16cid:durableId="779031059">
    <w:abstractNumId w:val="7"/>
  </w:num>
  <w:num w:numId="9" w16cid:durableId="428740679">
    <w:abstractNumId w:val="8"/>
  </w:num>
  <w:num w:numId="10" w16cid:durableId="1048073576">
    <w:abstractNumId w:val="9"/>
  </w:num>
  <w:num w:numId="11" w16cid:durableId="1080446130">
    <w:abstractNumId w:val="10"/>
  </w:num>
  <w:num w:numId="12" w16cid:durableId="672755986">
    <w:abstractNumId w:val="11"/>
  </w:num>
  <w:num w:numId="13" w16cid:durableId="24142196">
    <w:abstractNumId w:val="12"/>
  </w:num>
  <w:num w:numId="14" w16cid:durableId="261181860">
    <w:abstractNumId w:val="13"/>
  </w:num>
  <w:num w:numId="15" w16cid:durableId="906375098">
    <w:abstractNumId w:val="14"/>
  </w:num>
  <w:num w:numId="16" w16cid:durableId="1151406645">
    <w:abstractNumId w:val="15"/>
  </w:num>
  <w:num w:numId="17" w16cid:durableId="1602181412">
    <w:abstractNumId w:val="16"/>
  </w:num>
  <w:num w:numId="18" w16cid:durableId="1875386972">
    <w:abstractNumId w:val="17"/>
  </w:num>
  <w:num w:numId="19" w16cid:durableId="1505365829">
    <w:abstractNumId w:val="18"/>
  </w:num>
  <w:num w:numId="20" w16cid:durableId="2025395199">
    <w:abstractNumId w:val="19"/>
  </w:num>
  <w:num w:numId="21" w16cid:durableId="1492408729">
    <w:abstractNumId w:val="20"/>
  </w:num>
  <w:num w:numId="22" w16cid:durableId="1318799340">
    <w:abstractNumId w:val="21"/>
  </w:num>
  <w:num w:numId="23" w16cid:durableId="72625722">
    <w:abstractNumId w:val="22"/>
  </w:num>
  <w:num w:numId="24" w16cid:durableId="263463623">
    <w:abstractNumId w:val="23"/>
  </w:num>
  <w:num w:numId="25" w16cid:durableId="837505250">
    <w:abstractNumId w:val="24"/>
  </w:num>
  <w:num w:numId="26" w16cid:durableId="13370749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28C"/>
    <w:rsid w:val="00193375"/>
    <w:rsid w:val="00307428"/>
    <w:rsid w:val="005F49F1"/>
    <w:rsid w:val="007525C8"/>
    <w:rsid w:val="007576F9"/>
    <w:rsid w:val="00A12DC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80F99"/>
  <w15:docId w15:val="{8C01287A-43A3-4D6B-9884-20983280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nksoca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nksoca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04XX22- BCAL 1Q22 Financial Results</dc:title>
  <dc:creator>Kevin McCabe</dc:creator>
  <cp:lastModifiedBy>Kevin McCabe</cp:lastModifiedBy>
  <cp:revision>5</cp:revision>
  <dcterms:created xsi:type="dcterms:W3CDTF">2022-04-28T01:21:00Z</dcterms:created>
  <dcterms:modified xsi:type="dcterms:W3CDTF">2022-04-28T03:36:00Z</dcterms:modified>
</cp:coreProperties>
</file>